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5C" w:rsidRPr="008A7669" w:rsidRDefault="009C065C" w:rsidP="009C065C">
      <w:pPr>
        <w:jc w:val="center"/>
        <w:rPr>
          <w:rFonts w:cstheme="minorHAnsi"/>
        </w:rPr>
      </w:pPr>
      <w:r w:rsidRPr="008A7669">
        <w:rPr>
          <w:rFonts w:cstheme="minorHAnsi"/>
          <w:noProof/>
        </w:rPr>
        <w:drawing>
          <wp:inline distT="0" distB="0" distL="0" distR="0" wp14:anchorId="72BC9D98" wp14:editId="48F6CC60">
            <wp:extent cx="2576195" cy="11620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576195" cy="1162050"/>
                    </a:xfrm>
                    <a:prstGeom prst="rect">
                      <a:avLst/>
                    </a:prstGeom>
                    <a:ln/>
                  </pic:spPr>
                </pic:pic>
              </a:graphicData>
            </a:graphic>
          </wp:inline>
        </w:drawing>
      </w:r>
    </w:p>
    <w:p w:rsidR="009C065C" w:rsidRPr="008A7669" w:rsidRDefault="009C065C" w:rsidP="009C065C">
      <w:pPr>
        <w:jc w:val="center"/>
        <w:rPr>
          <w:rFonts w:eastAsia="Calibri" w:cstheme="minorHAnsi"/>
          <w:b/>
          <w:sz w:val="36"/>
          <w:szCs w:val="36"/>
        </w:rPr>
      </w:pPr>
      <w:r w:rsidRPr="008A7669">
        <w:rPr>
          <w:rFonts w:eastAsia="Calibri" w:cstheme="minorHAnsi"/>
          <w:b/>
          <w:sz w:val="36"/>
          <w:szCs w:val="36"/>
        </w:rPr>
        <w:t>PHARMACY-LED CONTINUOUS SEDATION STOP PROCEDURE AFFECT ON VENTILATION DAYS</w:t>
      </w:r>
    </w:p>
    <w:p w:rsidR="009C065C" w:rsidRPr="00625212" w:rsidRDefault="009C065C" w:rsidP="009C065C">
      <w:pPr>
        <w:spacing w:after="0" w:line="240" w:lineRule="auto"/>
        <w:rPr>
          <w:rFonts w:eastAsia="Calibri" w:cstheme="minorHAnsi"/>
          <w:b/>
          <w:sz w:val="24"/>
        </w:rPr>
      </w:pPr>
      <w:r w:rsidRPr="00625212">
        <w:rPr>
          <w:rFonts w:eastAsia="Calibri" w:cstheme="minorHAnsi"/>
          <w:b/>
          <w:sz w:val="24"/>
        </w:rPr>
        <w:t>Primary Author: Steven Burgos, PharmD</w:t>
      </w:r>
    </w:p>
    <w:p w:rsidR="009C065C" w:rsidRPr="008A7669" w:rsidRDefault="009C065C" w:rsidP="009C065C">
      <w:pPr>
        <w:spacing w:after="0" w:line="240" w:lineRule="auto"/>
        <w:rPr>
          <w:rFonts w:eastAsia="Calibri" w:cstheme="minorHAnsi"/>
        </w:rPr>
      </w:pPr>
      <w:r w:rsidRPr="008A7669">
        <w:rPr>
          <w:rFonts w:eastAsia="Calibri" w:cstheme="minorHAnsi"/>
        </w:rPr>
        <w:t xml:space="preserve">Dignity Health St. Rose Dominican Hospitals – Henderson, Nevada </w:t>
      </w:r>
    </w:p>
    <w:p w:rsidR="009C065C" w:rsidRPr="008A7669" w:rsidRDefault="009C065C" w:rsidP="009C065C">
      <w:pPr>
        <w:spacing w:after="0" w:line="240" w:lineRule="auto"/>
        <w:rPr>
          <w:rFonts w:eastAsia="Calibri" w:cstheme="minorHAnsi"/>
        </w:rPr>
      </w:pPr>
      <w:r w:rsidRPr="008A7669">
        <w:rPr>
          <w:rFonts w:eastAsia="Calibri" w:cstheme="minorHAnsi"/>
        </w:rPr>
        <w:t>PGY-1 Pharmacy Practice Resident</w:t>
      </w:r>
    </w:p>
    <w:p w:rsidR="009C065C" w:rsidRPr="008A7669" w:rsidRDefault="009C065C" w:rsidP="009C065C">
      <w:pPr>
        <w:spacing w:after="0" w:line="240" w:lineRule="auto"/>
        <w:rPr>
          <w:rFonts w:eastAsia="Calibri" w:cstheme="minorHAnsi"/>
        </w:rPr>
      </w:pPr>
      <w:hyperlink r:id="rId9">
        <w:r w:rsidRPr="008A7669">
          <w:rPr>
            <w:rFonts w:eastAsia="Calibri" w:cstheme="minorHAnsi"/>
            <w:color w:val="1155CC"/>
            <w:u w:val="single"/>
          </w:rPr>
          <w:t>Steven.Burgos@CommonSpirit.org</w:t>
        </w:r>
      </w:hyperlink>
    </w:p>
    <w:p w:rsidR="009C065C" w:rsidRPr="008A7669" w:rsidRDefault="009C065C" w:rsidP="009C065C">
      <w:pPr>
        <w:spacing w:after="0" w:line="240" w:lineRule="auto"/>
        <w:rPr>
          <w:rFonts w:eastAsia="Calibri" w:cstheme="minorHAnsi"/>
        </w:rPr>
      </w:pPr>
    </w:p>
    <w:p w:rsidR="009C065C" w:rsidRPr="00625212" w:rsidRDefault="009C065C" w:rsidP="009C065C">
      <w:pPr>
        <w:spacing w:after="0" w:line="240" w:lineRule="auto"/>
        <w:rPr>
          <w:rFonts w:eastAsia="Calibri" w:cstheme="minorHAnsi"/>
          <w:b/>
          <w:sz w:val="24"/>
        </w:rPr>
      </w:pPr>
      <w:r w:rsidRPr="00625212">
        <w:rPr>
          <w:rFonts w:eastAsia="Calibri" w:cstheme="minorHAnsi"/>
          <w:b/>
          <w:sz w:val="24"/>
        </w:rPr>
        <w:t>Co-Investigator: Karen Holmes, PharmD, BCPS</w:t>
      </w:r>
    </w:p>
    <w:p w:rsidR="009C065C" w:rsidRPr="008A7669" w:rsidRDefault="009C065C" w:rsidP="009C065C">
      <w:pPr>
        <w:spacing w:after="0" w:line="240" w:lineRule="auto"/>
        <w:rPr>
          <w:rFonts w:eastAsia="Calibri" w:cstheme="minorHAnsi"/>
        </w:rPr>
      </w:pPr>
      <w:r w:rsidRPr="008A7669">
        <w:rPr>
          <w:rFonts w:eastAsia="Calibri" w:cstheme="minorHAnsi"/>
        </w:rPr>
        <w:t xml:space="preserve">Dignity Health St. Rose Dominican Hospitals – Henderson, Nevada </w:t>
      </w:r>
    </w:p>
    <w:p w:rsidR="009C065C" w:rsidRPr="008A7669" w:rsidRDefault="009C065C" w:rsidP="009C065C">
      <w:pPr>
        <w:spacing w:after="0" w:line="240" w:lineRule="auto"/>
        <w:rPr>
          <w:rFonts w:eastAsia="Calibri" w:cstheme="minorHAnsi"/>
        </w:rPr>
      </w:pPr>
      <w:r w:rsidRPr="008A7669">
        <w:rPr>
          <w:rFonts w:eastAsia="Calibri" w:cstheme="minorHAnsi"/>
        </w:rPr>
        <w:t>Clinical Pharmacy Specialist in Critical Care</w:t>
      </w:r>
    </w:p>
    <w:p w:rsidR="009C065C" w:rsidRPr="008A7669" w:rsidRDefault="009C065C" w:rsidP="009C065C">
      <w:pPr>
        <w:spacing w:after="0" w:line="240" w:lineRule="auto"/>
        <w:rPr>
          <w:rFonts w:eastAsia="Calibri" w:cstheme="minorHAnsi"/>
        </w:rPr>
      </w:pPr>
      <w:hyperlink r:id="rId10">
        <w:r w:rsidRPr="008A7669">
          <w:rPr>
            <w:rFonts w:eastAsia="Calibri" w:cstheme="minorHAnsi"/>
            <w:color w:val="1155CC"/>
            <w:u w:val="single"/>
          </w:rPr>
          <w:t>Karen.Holmes@CommonSpirit.org</w:t>
        </w:r>
      </w:hyperlink>
      <w:r w:rsidRPr="008A7669">
        <w:rPr>
          <w:rFonts w:eastAsia="Calibri" w:cstheme="minorHAnsi"/>
        </w:rPr>
        <w:t xml:space="preserve"> </w:t>
      </w:r>
    </w:p>
    <w:p w:rsidR="009C065C" w:rsidRPr="008A7669" w:rsidRDefault="009C065C" w:rsidP="009C065C">
      <w:pPr>
        <w:spacing w:after="0" w:line="240" w:lineRule="auto"/>
        <w:rPr>
          <w:rFonts w:eastAsia="Calibri" w:cstheme="minorHAnsi"/>
        </w:rPr>
      </w:pPr>
    </w:p>
    <w:p w:rsidR="009C065C" w:rsidRPr="00625212" w:rsidRDefault="009C065C" w:rsidP="009C065C">
      <w:pPr>
        <w:spacing w:after="0" w:line="240" w:lineRule="auto"/>
        <w:rPr>
          <w:rFonts w:eastAsia="Calibri" w:cstheme="minorHAnsi"/>
          <w:b/>
          <w:sz w:val="24"/>
        </w:rPr>
      </w:pPr>
      <w:r w:rsidRPr="00625212">
        <w:rPr>
          <w:rFonts w:eastAsia="Calibri" w:cstheme="minorHAnsi"/>
          <w:b/>
          <w:sz w:val="24"/>
        </w:rPr>
        <w:t xml:space="preserve">Co-Investigator: Christine Hackman, PharmD </w:t>
      </w:r>
    </w:p>
    <w:p w:rsidR="009C065C" w:rsidRPr="008A7669" w:rsidRDefault="009C065C" w:rsidP="009C065C">
      <w:pPr>
        <w:spacing w:after="0" w:line="240" w:lineRule="auto"/>
        <w:rPr>
          <w:rFonts w:eastAsia="Calibri" w:cstheme="minorHAnsi"/>
        </w:rPr>
      </w:pPr>
      <w:r w:rsidRPr="008A7669">
        <w:rPr>
          <w:rFonts w:eastAsia="Calibri" w:cstheme="minorHAnsi"/>
        </w:rPr>
        <w:t xml:space="preserve">Dignity Health St. Rose Dominican Hospitals – Henderson, Nevada </w:t>
      </w:r>
    </w:p>
    <w:p w:rsidR="009C065C" w:rsidRPr="008A7669" w:rsidRDefault="009C065C" w:rsidP="009C065C">
      <w:pPr>
        <w:spacing w:after="0" w:line="240" w:lineRule="auto"/>
        <w:rPr>
          <w:rFonts w:eastAsia="Calibri" w:cstheme="minorHAnsi"/>
        </w:rPr>
      </w:pPr>
      <w:r w:rsidRPr="008A7669">
        <w:rPr>
          <w:rFonts w:eastAsia="Calibri" w:cstheme="minorHAnsi"/>
        </w:rPr>
        <w:t>Clinical Pharmacy Specialist in Critical Care</w:t>
      </w:r>
    </w:p>
    <w:p w:rsidR="009C065C" w:rsidRPr="008A7669" w:rsidRDefault="009C065C" w:rsidP="009C065C">
      <w:pPr>
        <w:spacing w:after="0" w:line="240" w:lineRule="auto"/>
        <w:rPr>
          <w:rFonts w:eastAsia="Calibri" w:cstheme="minorHAnsi"/>
        </w:rPr>
      </w:pPr>
      <w:hyperlink r:id="rId11">
        <w:r w:rsidRPr="008A7669">
          <w:rPr>
            <w:rFonts w:eastAsia="Calibri" w:cstheme="minorHAnsi"/>
            <w:color w:val="1155CC"/>
            <w:u w:val="single"/>
          </w:rPr>
          <w:t>Christine.Hackman@CommonSpirit.org</w:t>
        </w:r>
      </w:hyperlink>
      <w:r w:rsidRPr="008A7669">
        <w:rPr>
          <w:rFonts w:eastAsia="Calibri" w:cstheme="minorHAnsi"/>
        </w:rPr>
        <w:t xml:space="preserve"> </w:t>
      </w:r>
    </w:p>
    <w:p w:rsidR="009C065C" w:rsidRPr="008A7669" w:rsidRDefault="009C065C">
      <w:pPr>
        <w:rPr>
          <w:rFonts w:cstheme="minorHAnsi"/>
        </w:rPr>
      </w:pPr>
    </w:p>
    <w:p w:rsidR="009C065C" w:rsidRPr="008A7669" w:rsidRDefault="009C065C">
      <w:pPr>
        <w:rPr>
          <w:rFonts w:cstheme="minorHAnsi"/>
        </w:rPr>
      </w:pPr>
      <w:r w:rsidRPr="008A7669">
        <w:rPr>
          <w:rFonts w:cstheme="minorHAnsi"/>
        </w:rPr>
        <w:br w:type="page"/>
      </w:r>
    </w:p>
    <w:p w:rsidR="009C065C" w:rsidRPr="008A7669" w:rsidRDefault="009C065C" w:rsidP="009C065C">
      <w:pPr>
        <w:spacing w:after="0" w:line="240" w:lineRule="auto"/>
        <w:jc w:val="both"/>
        <w:rPr>
          <w:rFonts w:eastAsia="Calibri" w:cstheme="minorHAnsi"/>
          <w:b/>
          <w:sz w:val="36"/>
          <w:szCs w:val="36"/>
        </w:rPr>
      </w:pPr>
      <w:r w:rsidRPr="008A7669">
        <w:rPr>
          <w:rFonts w:eastAsia="Calibri" w:cstheme="minorHAnsi"/>
          <w:b/>
          <w:sz w:val="36"/>
          <w:szCs w:val="36"/>
        </w:rPr>
        <w:lastRenderedPageBreak/>
        <w:t xml:space="preserve">Abstract </w:t>
      </w:r>
    </w:p>
    <w:p w:rsidR="009C065C" w:rsidRPr="008A7669" w:rsidRDefault="009C065C" w:rsidP="009C065C">
      <w:pPr>
        <w:spacing w:after="0" w:line="240" w:lineRule="auto"/>
        <w:jc w:val="both"/>
        <w:rPr>
          <w:rFonts w:eastAsia="Calibri" w:cstheme="minorHAnsi"/>
          <w:b/>
        </w:rPr>
      </w:pPr>
    </w:p>
    <w:p w:rsidR="009C065C" w:rsidRPr="00625212" w:rsidRDefault="009C065C" w:rsidP="009C065C">
      <w:pPr>
        <w:spacing w:after="0" w:line="240" w:lineRule="auto"/>
        <w:jc w:val="both"/>
        <w:rPr>
          <w:rFonts w:eastAsia="Calibri" w:cstheme="minorHAnsi"/>
          <w:b/>
          <w:sz w:val="24"/>
          <w:szCs w:val="28"/>
        </w:rPr>
      </w:pPr>
      <w:r w:rsidRPr="00625212">
        <w:rPr>
          <w:rFonts w:eastAsia="Calibri" w:cstheme="minorHAnsi"/>
          <w:b/>
          <w:sz w:val="24"/>
          <w:szCs w:val="28"/>
        </w:rPr>
        <w:t>Introduction</w:t>
      </w:r>
    </w:p>
    <w:p w:rsidR="009C065C" w:rsidRPr="008A7669" w:rsidRDefault="009C065C" w:rsidP="009C065C">
      <w:pPr>
        <w:spacing w:after="0" w:line="240" w:lineRule="auto"/>
        <w:jc w:val="both"/>
        <w:rPr>
          <w:rFonts w:eastAsia="Calibri" w:cstheme="minorHAnsi"/>
          <w:sz w:val="20"/>
          <w:szCs w:val="20"/>
        </w:rPr>
      </w:pPr>
      <w:r w:rsidRPr="008A7669">
        <w:rPr>
          <w:rFonts w:eastAsia="Calibri" w:cstheme="minorHAnsi"/>
          <w:sz w:val="20"/>
          <w:szCs w:val="20"/>
        </w:rPr>
        <w:t>The use of sedation medications in intensive care units (ICUs) has been common practice to alleviate patient stress and prevent agitation-related harm. Current guidelines prioritize pain management before sedation and recommend light sedation levels, spontaneous awakening trials (SATs), and limited use of benzodiazepines for better outcomes. This study aims to assess the impact of reinforcing SATs and utilizing a multifaceted approach involving analgesic and anxiolytic medications on mechanical ventilation duration in the ICU.</w:t>
      </w:r>
    </w:p>
    <w:p w:rsidR="009C065C" w:rsidRPr="008A7669" w:rsidRDefault="009C065C" w:rsidP="009C065C">
      <w:pPr>
        <w:spacing w:after="0" w:line="240" w:lineRule="auto"/>
        <w:jc w:val="both"/>
        <w:rPr>
          <w:rFonts w:eastAsia="Calibri" w:cstheme="minorHAnsi"/>
          <w:sz w:val="20"/>
          <w:szCs w:val="20"/>
        </w:rPr>
      </w:pPr>
    </w:p>
    <w:p w:rsidR="009C065C" w:rsidRPr="00625212" w:rsidRDefault="009C065C" w:rsidP="009C065C">
      <w:pPr>
        <w:spacing w:after="0" w:line="240" w:lineRule="auto"/>
        <w:jc w:val="both"/>
        <w:rPr>
          <w:rFonts w:eastAsia="Calibri" w:cstheme="minorHAnsi"/>
          <w:b/>
          <w:color w:val="000000"/>
          <w:sz w:val="24"/>
          <w:szCs w:val="28"/>
        </w:rPr>
      </w:pPr>
      <w:r w:rsidRPr="00625212">
        <w:rPr>
          <w:rFonts w:eastAsia="Calibri" w:cstheme="minorHAnsi"/>
          <w:b/>
          <w:color w:val="000000"/>
          <w:sz w:val="24"/>
          <w:szCs w:val="28"/>
        </w:rPr>
        <w:t>Methodology</w:t>
      </w:r>
    </w:p>
    <w:p w:rsidR="009C065C" w:rsidRPr="008A7669" w:rsidRDefault="009C065C" w:rsidP="009C065C">
      <w:pPr>
        <w:spacing w:after="0" w:line="240" w:lineRule="auto"/>
        <w:jc w:val="both"/>
        <w:rPr>
          <w:rFonts w:eastAsia="Calibri" w:cstheme="minorHAnsi"/>
          <w:color w:val="000000"/>
          <w:sz w:val="20"/>
          <w:szCs w:val="20"/>
        </w:rPr>
      </w:pPr>
      <w:r w:rsidRPr="008A7669">
        <w:rPr>
          <w:rFonts w:eastAsia="Calibri" w:cstheme="minorHAnsi"/>
          <w:color w:val="000000"/>
          <w:sz w:val="20"/>
          <w:szCs w:val="20"/>
        </w:rPr>
        <w:t xml:space="preserve">This study is a retrospective chart review comparing two different groups from January 2019 to December 2019 and from January 2022 to November 2022. The primary outcome is the duration of mechanical ventilation. Secondary outcomes assessed include: all-cause mortality, Confusion Assessment Method (CAM) positive days, continuous sedation duration, ICU length of stay, proportion of patients achieving desired sedation (RASS -1 to +1), and number of patients requiring restart of continuous sedation. Patients were eligible for inclusion if they were mechanically ventilated and on continuous sedation medication for </w:t>
      </w:r>
      <w:r w:rsidRPr="008A7669">
        <w:rPr>
          <w:rFonts w:eastAsia="Calibri" w:cstheme="minorHAnsi"/>
          <w:color w:val="000000"/>
          <w:sz w:val="20"/>
          <w:szCs w:val="20"/>
          <w:u w:val="single"/>
        </w:rPr>
        <w:t>&gt;</w:t>
      </w:r>
      <w:r w:rsidRPr="008A7669">
        <w:rPr>
          <w:rFonts w:eastAsia="Calibri" w:cstheme="minorHAnsi"/>
          <w:color w:val="000000"/>
          <w:sz w:val="20"/>
          <w:szCs w:val="20"/>
        </w:rPr>
        <w:t xml:space="preserve"> 48 hours, while exclusion criteria covered various factors.</w:t>
      </w:r>
    </w:p>
    <w:p w:rsidR="009C065C" w:rsidRPr="008A7669" w:rsidRDefault="009C065C" w:rsidP="009C065C">
      <w:pPr>
        <w:spacing w:after="0" w:line="240" w:lineRule="auto"/>
        <w:jc w:val="both"/>
        <w:rPr>
          <w:rFonts w:eastAsia="Calibri" w:cstheme="minorHAnsi"/>
          <w:color w:val="000000"/>
          <w:sz w:val="20"/>
          <w:szCs w:val="20"/>
        </w:rPr>
      </w:pPr>
    </w:p>
    <w:p w:rsidR="009C065C" w:rsidRPr="00625212" w:rsidRDefault="009C065C" w:rsidP="009C065C">
      <w:pPr>
        <w:spacing w:after="0" w:line="240" w:lineRule="auto"/>
        <w:jc w:val="both"/>
        <w:rPr>
          <w:rFonts w:eastAsia="Calibri" w:cstheme="minorHAnsi"/>
          <w:b/>
          <w:sz w:val="24"/>
          <w:szCs w:val="28"/>
        </w:rPr>
      </w:pPr>
      <w:r w:rsidRPr="00625212">
        <w:rPr>
          <w:rFonts w:eastAsia="Calibri" w:cstheme="minorHAnsi"/>
          <w:b/>
          <w:sz w:val="24"/>
          <w:szCs w:val="28"/>
        </w:rPr>
        <w:t>Results</w:t>
      </w:r>
    </w:p>
    <w:p w:rsidR="009C065C" w:rsidRPr="008A7669" w:rsidRDefault="009C065C" w:rsidP="009C065C">
      <w:pPr>
        <w:spacing w:after="0" w:line="240" w:lineRule="auto"/>
        <w:jc w:val="both"/>
        <w:rPr>
          <w:rFonts w:eastAsia="Calibri" w:cstheme="minorHAnsi"/>
          <w:sz w:val="20"/>
          <w:szCs w:val="20"/>
        </w:rPr>
      </w:pPr>
      <w:r w:rsidRPr="008A7669">
        <w:rPr>
          <w:rFonts w:eastAsia="Calibri" w:cstheme="minorHAnsi"/>
          <w:sz w:val="20"/>
          <w:szCs w:val="20"/>
        </w:rPr>
        <w:t xml:space="preserve">The study included 326 patients in the final analysis. No statistically significant difference was found for the primary outcome of mechanical ventilation days after the initiation of the procedure (5.60 vs. 5.37, p = 0.498). For secondary outcomes we found a significant difference in the number of patients achieving RASS off continuous sedation (8% vs. 40%, p = &lt; 0.001), continuous sedation days (4.96 vs. 3.70, p = &lt; 0.001), and total sedation hours (121.79 vs. 95.47, p = 0.002). Additionally, our study also found a lower rate of propofol use (78.5% vs. 63.8%, p = 0.05) after the initiation of our stop procedure. </w:t>
      </w:r>
    </w:p>
    <w:p w:rsidR="009C065C" w:rsidRPr="008A7669" w:rsidRDefault="009C065C" w:rsidP="009C065C">
      <w:pPr>
        <w:spacing w:after="0" w:line="240" w:lineRule="auto"/>
        <w:jc w:val="both"/>
        <w:rPr>
          <w:rFonts w:eastAsia="Calibri" w:cstheme="minorHAnsi"/>
          <w:sz w:val="20"/>
          <w:szCs w:val="20"/>
        </w:rPr>
      </w:pPr>
    </w:p>
    <w:p w:rsidR="009C065C" w:rsidRPr="00625212" w:rsidRDefault="009C065C" w:rsidP="009C065C">
      <w:pPr>
        <w:spacing w:after="0" w:line="240" w:lineRule="auto"/>
        <w:jc w:val="both"/>
        <w:rPr>
          <w:rFonts w:eastAsia="Calibri" w:cstheme="minorHAnsi"/>
          <w:b/>
          <w:sz w:val="24"/>
          <w:szCs w:val="28"/>
        </w:rPr>
      </w:pPr>
      <w:r w:rsidRPr="00625212">
        <w:rPr>
          <w:rFonts w:eastAsia="Calibri" w:cstheme="minorHAnsi"/>
          <w:b/>
          <w:sz w:val="24"/>
          <w:szCs w:val="28"/>
        </w:rPr>
        <w:t>Conclusion</w:t>
      </w:r>
    </w:p>
    <w:p w:rsidR="00CF428C" w:rsidRPr="008A7669" w:rsidRDefault="009C065C" w:rsidP="009C065C">
      <w:pPr>
        <w:rPr>
          <w:rFonts w:eastAsia="Calibri" w:cstheme="minorHAnsi"/>
          <w:sz w:val="20"/>
          <w:szCs w:val="20"/>
        </w:rPr>
      </w:pPr>
      <w:r w:rsidRPr="008A7669">
        <w:rPr>
          <w:rFonts w:eastAsia="Calibri" w:cstheme="minorHAnsi"/>
          <w:sz w:val="20"/>
          <w:szCs w:val="20"/>
        </w:rPr>
        <w:t>The duration of mechanical ventilation days was no different between the pre- and post-procedure groups. A significant difference was found in select secondary outcomes. We were able to detect a difference in RASS achieved off continuous sedation, continuous sedation days, total sedation hours, and propofol use. The results of this study show that with this pharmacy-led procedure, there is significantly less continuous sedation medication use.</w:t>
      </w:r>
    </w:p>
    <w:p w:rsidR="009C065C" w:rsidRPr="008A7669" w:rsidRDefault="009C065C" w:rsidP="009C065C">
      <w:pPr>
        <w:rPr>
          <w:rFonts w:eastAsia="Calibri" w:cstheme="minorHAnsi"/>
          <w:sz w:val="20"/>
          <w:szCs w:val="20"/>
        </w:rPr>
      </w:pPr>
    </w:p>
    <w:p w:rsidR="008A7669" w:rsidRPr="00625212" w:rsidRDefault="00625212" w:rsidP="00625212">
      <w:pPr>
        <w:rPr>
          <w:rFonts w:eastAsia="Calibri" w:cstheme="minorHAnsi"/>
          <w:sz w:val="20"/>
          <w:szCs w:val="20"/>
        </w:rPr>
        <w:sectPr w:rsidR="008A7669" w:rsidRPr="00625212" w:rsidSect="009C065C">
          <w:headerReference w:type="default" r:id="rId12"/>
          <w:footerReference w:type="default" r:id="rId13"/>
          <w:pgSz w:w="12240" w:h="15840"/>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r>
        <w:rPr>
          <w:rFonts w:eastAsia="Calibri" w:cstheme="minorHAnsi"/>
          <w:sz w:val="20"/>
          <w:szCs w:val="20"/>
        </w:rPr>
        <w:br w:type="page"/>
      </w:r>
      <w:bookmarkStart w:id="0" w:name="_GoBack"/>
      <w:bookmarkEnd w:id="0"/>
    </w:p>
    <w:p w:rsidR="009C065C" w:rsidRPr="008A7669" w:rsidRDefault="009C065C" w:rsidP="008A7669">
      <w:pPr>
        <w:spacing w:after="0" w:line="240" w:lineRule="auto"/>
        <w:jc w:val="both"/>
        <w:rPr>
          <w:rFonts w:cstheme="minorHAnsi"/>
          <w:b/>
          <w:sz w:val="24"/>
          <w:szCs w:val="24"/>
        </w:rPr>
      </w:pPr>
      <w:r w:rsidRPr="008A7669">
        <w:rPr>
          <w:rFonts w:cstheme="minorHAnsi"/>
          <w:b/>
          <w:sz w:val="24"/>
          <w:szCs w:val="24"/>
        </w:rPr>
        <w:lastRenderedPageBreak/>
        <w:t>Introduction</w:t>
      </w:r>
    </w:p>
    <w:p w:rsidR="009C065C" w:rsidRPr="008A7669" w:rsidRDefault="009C065C" w:rsidP="008A7669">
      <w:pPr>
        <w:spacing w:after="0" w:line="240" w:lineRule="auto"/>
        <w:jc w:val="both"/>
        <w:rPr>
          <w:rFonts w:cstheme="minorHAnsi"/>
        </w:rPr>
      </w:pPr>
      <w:r w:rsidRPr="008A7669">
        <w:rPr>
          <w:rFonts w:cstheme="minorHAnsi"/>
        </w:rPr>
        <w:t>The use of sedation medications in an intensive care unit (ICU) setting has been common practice for years. Sedatives have frequently been used to help alleviate a patient’s stress and anxiety from being mechanically ventilated while helping to prevent patient harm from agitation.  Current Critical Care Medicine: Pain, Agitation/Sedation, Delirium, Immobility, and Sleep Disruption (PADIS) guidelines recommend that pain be managed first prior to the use of a sedative agent to reach sedation goals. Additionally, PADIS guidelines suggest using light levels of sedation, spontaneous awakening trials (SAT), and limiting the use of benzodiazepines to improve short-term outcomes such as ICU length of stay and mechanical ventilation duration.</w:t>
      </w:r>
      <w:r w:rsidRPr="008A7669">
        <w:rPr>
          <w:rFonts w:cstheme="minorHAnsi"/>
          <w:vertAlign w:val="superscript"/>
        </w:rPr>
        <w:t>1</w:t>
      </w:r>
    </w:p>
    <w:p w:rsidR="009C065C" w:rsidRPr="008A7669" w:rsidRDefault="009C065C" w:rsidP="008A7669">
      <w:pPr>
        <w:spacing w:after="0" w:line="240" w:lineRule="auto"/>
        <w:ind w:firstLine="720"/>
        <w:jc w:val="both"/>
        <w:rPr>
          <w:rFonts w:cstheme="minorHAnsi"/>
        </w:rPr>
      </w:pPr>
      <w:r w:rsidRPr="008A7669">
        <w:rPr>
          <w:rFonts w:cstheme="minorHAnsi"/>
        </w:rPr>
        <w:t>The Richmond Agitation-Sedation Scale (RASS) is used to assess the level of sedation/agitation of a patient with a goal of -1 to +1 being targeted for “light sedation”. Common sedation practice generally utilizes the use of multiple medications with different mechanisms of action to achieve this endpoint. These medications may include propofol, dexmedetomidine, midazolam, lorazepam, and ketamine. In general, these drugs are titrated and adjusted to meet the sedation goals set forth by the care team. Prolonged use of continuous sedation is associated with an increase in time spent on mechanical ventilation, which extends ICU length of stay.</w:t>
      </w:r>
      <w:r w:rsidRPr="008A7669">
        <w:rPr>
          <w:rFonts w:cstheme="minorHAnsi"/>
          <w:vertAlign w:val="superscript"/>
        </w:rPr>
        <w:t>2</w:t>
      </w:r>
      <w:r w:rsidRPr="008A7669">
        <w:rPr>
          <w:rFonts w:cstheme="minorHAnsi"/>
        </w:rPr>
        <w:t xml:space="preserve"> Daily sedation interruption or SAT is defined as a period of time in which a patient's continuous sedation is paused and the patient can be woken up. It has been found that when a SAT was performed it led to a shorter duration of continuous sedation and a decrease in mechanical ventilation duration.</w:t>
      </w:r>
      <w:r w:rsidRPr="008A7669">
        <w:rPr>
          <w:rFonts w:cstheme="minorHAnsi"/>
          <w:vertAlign w:val="superscript"/>
        </w:rPr>
        <w:t>3</w:t>
      </w:r>
      <w:r w:rsidRPr="008A7669">
        <w:rPr>
          <w:rFonts w:cstheme="minorHAnsi"/>
        </w:rPr>
        <w:t xml:space="preserve"> </w:t>
      </w:r>
    </w:p>
    <w:p w:rsidR="009C065C" w:rsidRPr="008A7669" w:rsidRDefault="009C065C" w:rsidP="008A7669">
      <w:pPr>
        <w:spacing w:after="0" w:line="240" w:lineRule="auto"/>
        <w:ind w:firstLine="720"/>
        <w:jc w:val="both"/>
        <w:rPr>
          <w:rFonts w:cstheme="minorHAnsi"/>
        </w:rPr>
      </w:pPr>
      <w:r w:rsidRPr="008A7669">
        <w:rPr>
          <w:rFonts w:cstheme="minorHAnsi"/>
        </w:rPr>
        <w:t>In a study done in 2010 by Strøm, T., et al it was found that a protocol of no sedation for critically ill patients receiving mechanical ventilation had positive outcomes.</w:t>
      </w:r>
      <w:r w:rsidRPr="008A7669">
        <w:rPr>
          <w:rFonts w:cstheme="minorHAnsi"/>
          <w:vertAlign w:val="superscript"/>
        </w:rPr>
        <w:t>4</w:t>
      </w:r>
      <w:r w:rsidRPr="008A7669">
        <w:rPr>
          <w:rFonts w:cstheme="minorHAnsi"/>
        </w:rPr>
        <w:t xml:space="preserve"> Results from the 2010 trial included a decreased length of stay in the ICU as well as a decrease in days spent mechanically ventilated. However, in a more recent study, a plan of no sedation was found to show no difference in outcome results.</w:t>
      </w:r>
      <w:r w:rsidRPr="008A7669">
        <w:rPr>
          <w:rFonts w:cstheme="minorHAnsi"/>
          <w:vertAlign w:val="superscript"/>
        </w:rPr>
        <w:t>5</w:t>
      </w:r>
      <w:r w:rsidRPr="008A7669">
        <w:rPr>
          <w:rFonts w:cstheme="minorHAnsi"/>
        </w:rPr>
        <w:t xml:space="preserve"> </w:t>
      </w:r>
    </w:p>
    <w:p w:rsidR="009C065C" w:rsidRPr="008A7669" w:rsidRDefault="009C065C" w:rsidP="008A7669">
      <w:pPr>
        <w:spacing w:after="0" w:line="240" w:lineRule="auto"/>
        <w:ind w:firstLine="720"/>
        <w:jc w:val="both"/>
        <w:rPr>
          <w:rFonts w:cstheme="minorHAnsi"/>
        </w:rPr>
      </w:pPr>
      <w:r w:rsidRPr="008A7669">
        <w:rPr>
          <w:rFonts w:cstheme="minorHAnsi"/>
        </w:rPr>
        <w:t xml:space="preserve">The aim of this project was to examine the impact of reinforcing the use of SATs and implementing a multifaceted approach, which </w:t>
      </w:r>
      <w:r w:rsidRPr="008A7669">
        <w:rPr>
          <w:rFonts w:cstheme="minorHAnsi"/>
        </w:rPr>
        <w:t>includes IV push and oral analgesic and anxiolytic medication, on the duration of mechanical ventilation in the ICU.</w:t>
      </w:r>
    </w:p>
    <w:p w:rsidR="009C065C" w:rsidRPr="008A7669" w:rsidRDefault="009C065C" w:rsidP="008A7669">
      <w:pPr>
        <w:spacing w:after="0" w:line="240" w:lineRule="auto"/>
        <w:jc w:val="both"/>
        <w:rPr>
          <w:rFonts w:cstheme="minorHAnsi"/>
        </w:rPr>
      </w:pPr>
    </w:p>
    <w:p w:rsidR="009C065C" w:rsidRPr="008A7669" w:rsidRDefault="009C065C" w:rsidP="008A7669">
      <w:pPr>
        <w:spacing w:after="0" w:line="240" w:lineRule="auto"/>
        <w:jc w:val="both"/>
        <w:rPr>
          <w:rFonts w:cstheme="minorHAnsi"/>
          <w:b/>
          <w:sz w:val="24"/>
        </w:rPr>
      </w:pPr>
      <w:r w:rsidRPr="008A7669">
        <w:rPr>
          <w:rFonts w:cstheme="minorHAnsi"/>
          <w:b/>
          <w:sz w:val="24"/>
        </w:rPr>
        <w:t>Methods</w:t>
      </w:r>
    </w:p>
    <w:p w:rsidR="009C065C" w:rsidRPr="008A7669" w:rsidRDefault="009C065C" w:rsidP="008A7669">
      <w:pPr>
        <w:spacing w:after="0" w:line="240" w:lineRule="auto"/>
        <w:jc w:val="both"/>
        <w:rPr>
          <w:rFonts w:cstheme="minorHAnsi"/>
        </w:rPr>
      </w:pPr>
      <w:r w:rsidRPr="008A7669">
        <w:rPr>
          <w:rFonts w:cstheme="minorHAnsi"/>
        </w:rPr>
        <w:t>A continuous sedation stop procedure was implemented at St. Rose Dominican Hospital - Siena Campus ICU in June 2021. The procedure involved the active involvement of a pharmacist who identified patients receiving continuous sedation and reviewed critical care pain observation (CPOT) scores, Richmond Agitation-Sedation Scale (RASS) assessments, sedation drip rates, use of as-needed pain/anxiety medications, and exclusion criteria. Eligible patients were then discussed with the licensed independent provider for a decision regarding the suspension of continuous sedation. If approved, the continuous infusion was discontinued, and the nursing team was encouraged to achieve RASS goals using as-needed pain and anxiety medications.</w:t>
      </w:r>
    </w:p>
    <w:p w:rsidR="009C065C" w:rsidRPr="008A7669" w:rsidRDefault="009C065C" w:rsidP="008A7669">
      <w:pPr>
        <w:spacing w:after="0" w:line="240" w:lineRule="auto"/>
        <w:ind w:firstLine="720"/>
        <w:jc w:val="both"/>
        <w:rPr>
          <w:rFonts w:cstheme="minorHAnsi"/>
        </w:rPr>
      </w:pPr>
      <w:r w:rsidRPr="008A7669">
        <w:rPr>
          <w:rFonts w:cstheme="minorHAnsi"/>
        </w:rPr>
        <w:t>For this retrospective chart review study, patient records from two different time periods were compared: January 2019 to December 2019 and January 2022 to November 2022. Patient records were identified using a Cerner report. The inclusion criteria encompassed patients who were mechanically ventilated and had received continuous sedation medication for a duration exceeding 48 hours. The continuous sedation agents utilized in this study consisted of dexmedetomidine, fentanyl, hydromorphone, ketamine, midazolam, and propofol. Patients were excluded if they had a chronic ventilation status with a tracheostomy, expired before day 3, had high ventilator settings (FiO2 &gt; 80%, PEEP &gt; 10) on day 3, underwent induced hypothermia, received a neuromuscular blockade infusion, were pending comfort care, underwent prone positioning, were admitted for seizures, or were admitted for substance withdrawal.</w:t>
      </w:r>
    </w:p>
    <w:p w:rsidR="009C065C" w:rsidRPr="008A7669" w:rsidRDefault="009C065C" w:rsidP="008A7669">
      <w:pPr>
        <w:spacing w:after="0" w:line="240" w:lineRule="auto"/>
        <w:ind w:firstLine="720"/>
        <w:jc w:val="both"/>
        <w:rPr>
          <w:rFonts w:cstheme="minorHAnsi"/>
        </w:rPr>
      </w:pPr>
      <w:r w:rsidRPr="008A7669">
        <w:rPr>
          <w:rFonts w:cstheme="minorHAnsi"/>
        </w:rPr>
        <w:t xml:space="preserve">The primary outcome of interest in this study was the duration of mechanical ventilation days. Additionally, several secondary outcomes were assessed, including all-cause mortality, the number of days with positive Confusion Assessment Method (CAM) scores, the number of days under continuous sedation, the total number of days spent in the ICU, the proportion of patients who achieved the desired </w:t>
      </w:r>
      <w:r w:rsidRPr="008A7669">
        <w:rPr>
          <w:rFonts w:cstheme="minorHAnsi"/>
        </w:rPr>
        <w:lastRenderedPageBreak/>
        <w:t>level of sedation (RASS -1 to +1), and the number of patients who required the restarting of continuous sedation.</w:t>
      </w:r>
    </w:p>
    <w:p w:rsidR="009C065C" w:rsidRPr="008A7669" w:rsidRDefault="009C065C" w:rsidP="008A7669">
      <w:pPr>
        <w:spacing w:after="0" w:line="240" w:lineRule="auto"/>
        <w:jc w:val="both"/>
        <w:rPr>
          <w:rFonts w:cstheme="minorHAnsi"/>
        </w:rPr>
      </w:pPr>
    </w:p>
    <w:p w:rsidR="009C065C" w:rsidRPr="008A7669" w:rsidRDefault="009C065C" w:rsidP="008A7669">
      <w:pPr>
        <w:spacing w:after="0" w:line="240" w:lineRule="auto"/>
        <w:jc w:val="both"/>
        <w:rPr>
          <w:rFonts w:cstheme="minorHAnsi"/>
          <w:b/>
          <w:sz w:val="24"/>
        </w:rPr>
      </w:pPr>
      <w:r w:rsidRPr="008A7669">
        <w:rPr>
          <w:rFonts w:cstheme="minorHAnsi"/>
          <w:b/>
          <w:sz w:val="24"/>
        </w:rPr>
        <w:t>Statistical Analysis</w:t>
      </w:r>
    </w:p>
    <w:p w:rsidR="009C065C" w:rsidRPr="008A7669" w:rsidRDefault="009C065C" w:rsidP="008A7669">
      <w:pPr>
        <w:spacing w:after="0" w:line="240" w:lineRule="auto"/>
        <w:jc w:val="both"/>
        <w:rPr>
          <w:rFonts w:cstheme="minorHAnsi"/>
        </w:rPr>
      </w:pPr>
      <w:r w:rsidRPr="008A7669">
        <w:rPr>
          <w:rFonts w:cstheme="minorHAnsi"/>
        </w:rPr>
        <w:t xml:space="preserve">Statistical analyses were performed using appropriate methods for parametric and nonparametric values. Parametric values were </w:t>
      </w:r>
      <w:r w:rsidRPr="008A7669">
        <w:rPr>
          <w:rFonts w:cstheme="minorHAnsi"/>
        </w:rPr>
        <w:t>compared using two-sided t-tests, while nonparametric values were compared using Fisher's exact or chi-square tests, as deemed appropriate.</w:t>
      </w:r>
    </w:p>
    <w:p w:rsidR="009C065C" w:rsidRDefault="009C065C" w:rsidP="008A7669">
      <w:pPr>
        <w:spacing w:after="0" w:line="240" w:lineRule="auto"/>
        <w:ind w:firstLine="720"/>
        <w:jc w:val="both"/>
        <w:rPr>
          <w:rFonts w:cstheme="minorHAnsi"/>
        </w:rPr>
      </w:pPr>
      <w:r w:rsidRPr="008A7669">
        <w:rPr>
          <w:rFonts w:cstheme="minorHAnsi"/>
        </w:rPr>
        <w:t>To determine the required sample size for adequate statistical power, power calculations were conducted. Based on assumptions of an 80% power level and a significance threshold of p &lt; 0.05, it was estimated that a sample size of 456 patients would</w:t>
      </w:r>
    </w:p>
    <w:p w:rsidR="00625212" w:rsidRDefault="00625212" w:rsidP="00625212">
      <w:pPr>
        <w:spacing w:after="0" w:line="240" w:lineRule="auto"/>
        <w:jc w:val="both"/>
        <w:rPr>
          <w:rFonts w:cstheme="minorHAnsi"/>
        </w:rPr>
      </w:pPr>
    </w:p>
    <w:p w:rsidR="00625212" w:rsidRDefault="00625212" w:rsidP="00A90210">
      <w:pPr>
        <w:spacing w:after="0" w:line="276" w:lineRule="auto"/>
        <w:jc w:val="center"/>
        <w:rPr>
          <w:rFonts w:eastAsia="Calibri" w:cstheme="minorHAnsi"/>
          <w:color w:val="FFFFFF"/>
          <w:sz w:val="20"/>
          <w:szCs w:val="20"/>
        </w:rPr>
        <w:sectPr w:rsidR="00625212" w:rsidSect="008A7669">
          <w:type w:val="continuous"/>
          <w:pgSz w:w="12240" w:h="15840"/>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2"/>
        <w:gridCol w:w="2256"/>
        <w:gridCol w:w="1208"/>
        <w:gridCol w:w="1218"/>
        <w:gridCol w:w="1196"/>
      </w:tblGrid>
      <w:tr w:rsidR="00625212" w:rsidRPr="003E245E" w:rsidTr="00A90210">
        <w:trPr>
          <w:trHeight w:val="52"/>
          <w:jc w:val="center"/>
        </w:trPr>
        <w:tc>
          <w:tcPr>
            <w:tcW w:w="2081" w:type="pct"/>
            <w:tcBorders>
              <w:top w:val="single" w:sz="4" w:space="0" w:color="EAAB00"/>
              <w:left w:val="single" w:sz="4" w:space="0" w:color="EAAB00"/>
              <w:bottom w:val="single" w:sz="4" w:space="0" w:color="F7E2CA"/>
              <w:right w:val="single" w:sz="4" w:space="0" w:color="EAAB00"/>
            </w:tcBorders>
            <w:shd w:val="clear" w:color="auto" w:fill="EAAB00"/>
            <w:tcMar>
              <w:left w:w="0" w:type="dxa"/>
              <w:right w:w="0" w:type="dxa"/>
            </w:tcMar>
            <w:vAlign w:val="center"/>
          </w:tcPr>
          <w:p w:rsidR="00625212" w:rsidRPr="004573B3" w:rsidRDefault="00625212" w:rsidP="00A90210">
            <w:pPr>
              <w:spacing w:after="0" w:line="276" w:lineRule="auto"/>
              <w:jc w:val="center"/>
              <w:rPr>
                <w:rFonts w:eastAsia="Calibri" w:cstheme="minorHAnsi"/>
                <w:color w:val="FFFFFF"/>
                <w:sz w:val="20"/>
                <w:szCs w:val="20"/>
              </w:rPr>
            </w:pPr>
          </w:p>
        </w:tc>
        <w:tc>
          <w:tcPr>
            <w:tcW w:w="1120" w:type="pct"/>
            <w:tcBorders>
              <w:top w:val="single" w:sz="4" w:space="0" w:color="EAAB00"/>
              <w:left w:val="single" w:sz="4" w:space="0" w:color="EAAB00"/>
              <w:bottom w:val="single" w:sz="4" w:space="0" w:color="F7E2CA"/>
              <w:right w:val="single" w:sz="4" w:space="0" w:color="EAAB00"/>
            </w:tcBorders>
            <w:shd w:val="clear" w:color="auto" w:fill="EAAB00"/>
            <w:tcMar>
              <w:left w:w="0" w:type="dxa"/>
              <w:right w:w="0" w:type="dxa"/>
            </w:tcMar>
            <w:vAlign w:val="center"/>
          </w:tcPr>
          <w:p w:rsidR="00625212" w:rsidRPr="004573B3" w:rsidRDefault="00625212" w:rsidP="00A90210">
            <w:pPr>
              <w:spacing w:after="0" w:line="276" w:lineRule="auto"/>
              <w:jc w:val="center"/>
              <w:rPr>
                <w:rFonts w:eastAsia="Calibri" w:cstheme="minorHAnsi"/>
                <w:color w:val="FFFFFF"/>
                <w:sz w:val="20"/>
                <w:szCs w:val="20"/>
              </w:rPr>
            </w:pPr>
            <w:r w:rsidRPr="004573B3">
              <w:rPr>
                <w:rFonts w:eastAsia="Calibri" w:cstheme="minorHAnsi"/>
                <w:b/>
                <w:color w:val="FFFFFF"/>
                <w:sz w:val="20"/>
                <w:szCs w:val="20"/>
              </w:rPr>
              <w:t>Pre-Procedure</w:t>
            </w:r>
          </w:p>
          <w:p w:rsidR="00625212" w:rsidRPr="004573B3" w:rsidRDefault="00625212" w:rsidP="00A90210">
            <w:pPr>
              <w:spacing w:after="0" w:line="276"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1205" w:type="pct"/>
            <w:gridSpan w:val="2"/>
            <w:tcBorders>
              <w:top w:val="single" w:sz="4" w:space="0" w:color="EAAB00"/>
              <w:left w:val="single" w:sz="4" w:space="0" w:color="EAAB00"/>
              <w:bottom w:val="single" w:sz="4" w:space="0" w:color="F7E2CA"/>
              <w:right w:val="single" w:sz="4" w:space="0" w:color="EAAB00"/>
            </w:tcBorders>
            <w:shd w:val="clear" w:color="auto" w:fill="EAAB00"/>
            <w:tcMar>
              <w:left w:w="0" w:type="dxa"/>
              <w:right w:w="0" w:type="dxa"/>
            </w:tcMar>
            <w:vAlign w:val="center"/>
          </w:tcPr>
          <w:p w:rsidR="00625212" w:rsidRPr="004573B3" w:rsidRDefault="00625212" w:rsidP="00A90210">
            <w:pPr>
              <w:spacing w:after="0" w:line="276" w:lineRule="auto"/>
              <w:jc w:val="center"/>
              <w:rPr>
                <w:rFonts w:eastAsia="Calibri" w:cstheme="minorHAnsi"/>
                <w:color w:val="FFFFFF"/>
                <w:sz w:val="20"/>
                <w:szCs w:val="20"/>
              </w:rPr>
            </w:pPr>
            <w:r w:rsidRPr="004573B3">
              <w:rPr>
                <w:rFonts w:eastAsia="Calibri" w:cstheme="minorHAnsi"/>
                <w:b/>
                <w:color w:val="FFFFFF"/>
                <w:sz w:val="20"/>
                <w:szCs w:val="20"/>
              </w:rPr>
              <w:t>Post-Procedure</w:t>
            </w:r>
          </w:p>
          <w:p w:rsidR="00625212" w:rsidRPr="004573B3" w:rsidRDefault="00625212" w:rsidP="00A90210">
            <w:pPr>
              <w:spacing w:after="0" w:line="276"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594" w:type="pct"/>
            <w:tcBorders>
              <w:top w:val="single" w:sz="4" w:space="0" w:color="EAAB00"/>
              <w:left w:val="single" w:sz="4" w:space="0" w:color="EAAB00"/>
              <w:bottom w:val="single" w:sz="4" w:space="0" w:color="F7E2CA"/>
              <w:right w:val="single" w:sz="4" w:space="0" w:color="EAAB00"/>
            </w:tcBorders>
            <w:shd w:val="clear" w:color="auto" w:fill="EAAB00"/>
            <w:tcMar>
              <w:left w:w="0" w:type="dxa"/>
              <w:right w:w="0" w:type="dxa"/>
            </w:tcMar>
            <w:vAlign w:val="center"/>
          </w:tcPr>
          <w:p w:rsidR="00625212" w:rsidRPr="004573B3" w:rsidRDefault="00625212" w:rsidP="00A90210">
            <w:pPr>
              <w:spacing w:after="0" w:line="276" w:lineRule="auto"/>
              <w:jc w:val="center"/>
              <w:rPr>
                <w:rFonts w:eastAsia="Calibri" w:cstheme="minorHAnsi"/>
                <w:color w:val="FFFFFF"/>
                <w:sz w:val="20"/>
                <w:szCs w:val="20"/>
              </w:rPr>
            </w:pPr>
            <w:r w:rsidRPr="004573B3">
              <w:rPr>
                <w:rFonts w:eastAsia="Calibri" w:cstheme="minorHAnsi"/>
                <w:b/>
                <w:color w:val="FFFFFF"/>
                <w:sz w:val="20"/>
                <w:szCs w:val="20"/>
              </w:rPr>
              <w:t>P Value</w:t>
            </w:r>
          </w:p>
        </w:tc>
      </w:tr>
      <w:tr w:rsidR="00625212" w:rsidRPr="003E245E" w:rsidTr="00A90210">
        <w:trPr>
          <w:jc w:val="center"/>
        </w:trPr>
        <w:tc>
          <w:tcPr>
            <w:tcW w:w="2081" w:type="pct"/>
            <w:tcBorders>
              <w:top w:val="single" w:sz="4" w:space="0" w:color="F7E2CA"/>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b/>
                <w:sz w:val="20"/>
                <w:szCs w:val="20"/>
              </w:rPr>
              <w:t>Characteristics</w:t>
            </w:r>
          </w:p>
        </w:tc>
        <w:tc>
          <w:tcPr>
            <w:tcW w:w="1120" w:type="pct"/>
            <w:tcBorders>
              <w:top w:val="single" w:sz="4" w:space="0" w:color="F7E2CA"/>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p>
        </w:tc>
        <w:tc>
          <w:tcPr>
            <w:tcW w:w="1205" w:type="pct"/>
            <w:gridSpan w:val="2"/>
            <w:tcBorders>
              <w:top w:val="single" w:sz="4" w:space="0" w:color="F7E2CA"/>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p>
        </w:tc>
        <w:tc>
          <w:tcPr>
            <w:tcW w:w="594" w:type="pct"/>
            <w:tcBorders>
              <w:top w:val="single" w:sz="4" w:space="0" w:color="F7E2CA"/>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p>
        </w:tc>
      </w:tr>
      <w:tr w:rsidR="00625212" w:rsidRPr="003E245E" w:rsidTr="00A90210">
        <w:trPr>
          <w:trHeight w:val="147"/>
          <w:jc w:val="center"/>
        </w:trPr>
        <w:tc>
          <w:tcPr>
            <w:tcW w:w="2081"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sz w:val="20"/>
                <w:szCs w:val="20"/>
              </w:rPr>
              <w:t>Age – years, mean (SD)</w:t>
            </w:r>
          </w:p>
        </w:tc>
        <w:tc>
          <w:tcPr>
            <w:tcW w:w="1120"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69 (14.5)</w:t>
            </w:r>
          </w:p>
        </w:tc>
        <w:tc>
          <w:tcPr>
            <w:tcW w:w="1205" w:type="pct"/>
            <w:gridSpan w:val="2"/>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70 (14.9)</w:t>
            </w:r>
          </w:p>
        </w:tc>
        <w:tc>
          <w:tcPr>
            <w:tcW w:w="594"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0.746</w:t>
            </w:r>
          </w:p>
        </w:tc>
      </w:tr>
      <w:tr w:rsidR="00625212" w:rsidRPr="003E245E" w:rsidTr="00A90210">
        <w:trPr>
          <w:trHeight w:val="147"/>
          <w:jc w:val="center"/>
        </w:trPr>
        <w:tc>
          <w:tcPr>
            <w:tcW w:w="2081"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sz w:val="20"/>
                <w:szCs w:val="20"/>
              </w:rPr>
              <w:t>Male – sex, n (%)</w:t>
            </w:r>
          </w:p>
        </w:tc>
        <w:tc>
          <w:tcPr>
            <w:tcW w:w="1120"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87 (53.4)</w:t>
            </w:r>
          </w:p>
        </w:tc>
        <w:tc>
          <w:tcPr>
            <w:tcW w:w="1205" w:type="pct"/>
            <w:gridSpan w:val="2"/>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84 (51.5)</w:t>
            </w:r>
          </w:p>
        </w:tc>
        <w:tc>
          <w:tcPr>
            <w:tcW w:w="594"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0.739</w:t>
            </w:r>
          </w:p>
        </w:tc>
      </w:tr>
      <w:tr w:rsidR="00625212" w:rsidRPr="003E245E" w:rsidTr="00A90210">
        <w:trPr>
          <w:trHeight w:val="147"/>
          <w:jc w:val="center"/>
        </w:trPr>
        <w:tc>
          <w:tcPr>
            <w:tcW w:w="2081"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sz w:val="20"/>
                <w:szCs w:val="20"/>
              </w:rPr>
              <w:t>BMI – kg/m</w:t>
            </w:r>
            <w:r w:rsidRPr="004573B3">
              <w:rPr>
                <w:rFonts w:eastAsia="Calibri" w:cstheme="minorHAnsi"/>
                <w:sz w:val="20"/>
                <w:szCs w:val="20"/>
                <w:vertAlign w:val="superscript"/>
              </w:rPr>
              <w:t>2</w:t>
            </w:r>
            <w:r w:rsidRPr="004573B3">
              <w:rPr>
                <w:rFonts w:eastAsia="Calibri" w:cstheme="minorHAnsi"/>
                <w:sz w:val="20"/>
                <w:szCs w:val="20"/>
              </w:rPr>
              <w:t>, mean (SD)</w:t>
            </w:r>
          </w:p>
        </w:tc>
        <w:tc>
          <w:tcPr>
            <w:tcW w:w="1120"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27.8 (7.7)</w:t>
            </w:r>
          </w:p>
        </w:tc>
        <w:tc>
          <w:tcPr>
            <w:tcW w:w="1205" w:type="pct"/>
            <w:gridSpan w:val="2"/>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28.9 (8.1)</w:t>
            </w:r>
          </w:p>
        </w:tc>
        <w:tc>
          <w:tcPr>
            <w:tcW w:w="594"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0.225</w:t>
            </w:r>
          </w:p>
        </w:tc>
      </w:tr>
      <w:tr w:rsidR="00625212" w:rsidRPr="003E245E" w:rsidTr="00A90210">
        <w:trPr>
          <w:trHeight w:val="147"/>
          <w:jc w:val="center"/>
        </w:trPr>
        <w:tc>
          <w:tcPr>
            <w:tcW w:w="2081"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sz w:val="20"/>
                <w:szCs w:val="20"/>
              </w:rPr>
              <w:t>APACHE II score, mean (SD)</w:t>
            </w:r>
          </w:p>
        </w:tc>
        <w:tc>
          <w:tcPr>
            <w:tcW w:w="1120"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21.8 (6.8)</w:t>
            </w:r>
          </w:p>
        </w:tc>
        <w:tc>
          <w:tcPr>
            <w:tcW w:w="1205" w:type="pct"/>
            <w:gridSpan w:val="2"/>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23.2 (7.3)</w:t>
            </w:r>
          </w:p>
        </w:tc>
        <w:tc>
          <w:tcPr>
            <w:tcW w:w="594"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0.81</w:t>
            </w:r>
          </w:p>
        </w:tc>
      </w:tr>
      <w:tr w:rsidR="00625212" w:rsidRPr="003E245E" w:rsidTr="00A90210">
        <w:trPr>
          <w:trHeight w:val="147"/>
          <w:jc w:val="center"/>
        </w:trPr>
        <w:tc>
          <w:tcPr>
            <w:tcW w:w="2081" w:type="pct"/>
            <w:tcBorders>
              <w:top w:val="single" w:sz="4" w:space="0" w:color="FBF1E6"/>
              <w:left w:val="single" w:sz="4" w:space="0" w:color="FBF1E6"/>
              <w:bottom w:val="nil"/>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sz w:val="20"/>
                <w:szCs w:val="20"/>
              </w:rPr>
              <w:t>COVID positive, n (%)</w:t>
            </w:r>
          </w:p>
        </w:tc>
        <w:tc>
          <w:tcPr>
            <w:tcW w:w="1120" w:type="pct"/>
            <w:tcBorders>
              <w:top w:val="single" w:sz="4" w:space="0" w:color="FBF1E6"/>
              <w:left w:val="single" w:sz="4" w:space="0" w:color="FBF1E6"/>
              <w:bottom w:val="nil"/>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0 (0)</w:t>
            </w:r>
          </w:p>
        </w:tc>
        <w:tc>
          <w:tcPr>
            <w:tcW w:w="1205" w:type="pct"/>
            <w:gridSpan w:val="2"/>
            <w:tcBorders>
              <w:top w:val="single" w:sz="4" w:space="0" w:color="FBF1E6"/>
              <w:left w:val="single" w:sz="4" w:space="0" w:color="FBF1E6"/>
              <w:bottom w:val="nil"/>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38 (23.3)</w:t>
            </w:r>
          </w:p>
        </w:tc>
        <w:tc>
          <w:tcPr>
            <w:tcW w:w="594" w:type="pct"/>
            <w:tcBorders>
              <w:top w:val="single" w:sz="4" w:space="0" w:color="FBF1E6"/>
              <w:left w:val="single" w:sz="4" w:space="0" w:color="FBF1E6"/>
              <w:bottom w:val="nil"/>
              <w:right w:val="single" w:sz="4" w:space="0" w:color="FBF1E6"/>
            </w:tcBorders>
            <w:shd w:val="clear" w:color="auto" w:fill="FBF1E6"/>
            <w:tcMar>
              <w:left w:w="0" w:type="dxa"/>
              <w:right w:w="0" w:type="dxa"/>
            </w:tcMar>
            <w:vAlign w:val="center"/>
          </w:tcPr>
          <w:p w:rsidR="00625212" w:rsidRPr="004573B3" w:rsidRDefault="00625212" w:rsidP="00A90210">
            <w:pPr>
              <w:spacing w:after="0" w:line="276" w:lineRule="auto"/>
              <w:jc w:val="center"/>
              <w:rPr>
                <w:rFonts w:eastAsia="Calibri" w:cstheme="minorHAnsi"/>
                <w:sz w:val="20"/>
                <w:szCs w:val="20"/>
              </w:rPr>
            </w:pPr>
            <w:r w:rsidRPr="004573B3">
              <w:rPr>
                <w:rFonts w:eastAsia="Calibri" w:cstheme="minorHAnsi"/>
                <w:sz w:val="20"/>
                <w:szCs w:val="20"/>
              </w:rPr>
              <w:t>&lt; 0.001</w:t>
            </w:r>
          </w:p>
        </w:tc>
      </w:tr>
      <w:tr w:rsidR="00625212" w:rsidRPr="004573B3" w:rsidTr="00A90210">
        <w:trPr>
          <w:jc w:val="center"/>
        </w:trPr>
        <w:tc>
          <w:tcPr>
            <w:tcW w:w="5000" w:type="pct"/>
            <w:gridSpan w:val="5"/>
            <w:tcBorders>
              <w:top w:val="nil"/>
              <w:left w:val="nil"/>
              <w:bottom w:val="nil"/>
              <w:right w:val="nil"/>
            </w:tcBorders>
            <w:tcMar>
              <w:left w:w="0" w:type="dxa"/>
              <w:right w:w="0" w:type="dxa"/>
            </w:tcMar>
            <w:vAlign w:val="center"/>
          </w:tcPr>
          <w:p w:rsidR="00625212" w:rsidRPr="004573B3" w:rsidRDefault="00625212" w:rsidP="00A90210">
            <w:pPr>
              <w:spacing w:after="0" w:line="276" w:lineRule="auto"/>
              <w:rPr>
                <w:rFonts w:eastAsia="Calibri" w:cstheme="minorHAnsi"/>
                <w:sz w:val="20"/>
                <w:szCs w:val="20"/>
              </w:rPr>
            </w:pPr>
            <w:r w:rsidRPr="004573B3">
              <w:rPr>
                <w:rFonts w:eastAsia="Calibri" w:cstheme="minorHAnsi"/>
                <w:b/>
                <w:sz w:val="20"/>
                <w:szCs w:val="20"/>
              </w:rPr>
              <w:t>Table 1: Baseline characteristics on admission to the ICU</w:t>
            </w:r>
          </w:p>
        </w:tc>
      </w:tr>
      <w:tr w:rsidR="00625212" w:rsidRPr="003E245E" w:rsidTr="00A90210">
        <w:trPr>
          <w:jc w:val="center"/>
        </w:trPr>
        <w:tc>
          <w:tcPr>
            <w:tcW w:w="5000" w:type="pct"/>
            <w:gridSpan w:val="5"/>
            <w:tcBorders>
              <w:top w:val="nil"/>
              <w:left w:val="single" w:sz="4" w:space="0" w:color="FFFFFF"/>
              <w:bottom w:val="single" w:sz="4" w:space="0" w:color="FFFFFF"/>
              <w:right w:val="single" w:sz="4" w:space="0" w:color="FFFFFF"/>
            </w:tcBorders>
            <w:tcMar>
              <w:left w:w="0" w:type="dxa"/>
              <w:right w:w="0" w:type="dxa"/>
            </w:tcMar>
            <w:vAlign w:val="center"/>
          </w:tcPr>
          <w:p w:rsidR="00625212" w:rsidRPr="003E245E" w:rsidRDefault="00625212" w:rsidP="00A90210">
            <w:pPr>
              <w:spacing w:after="0" w:line="276" w:lineRule="auto"/>
              <w:rPr>
                <w:rFonts w:eastAsia="Calibri" w:cstheme="minorHAnsi"/>
                <w:b/>
                <w:sz w:val="20"/>
                <w:szCs w:val="20"/>
              </w:rPr>
            </w:pPr>
          </w:p>
        </w:tc>
      </w:tr>
      <w:tr w:rsidR="00625212" w:rsidRPr="004573B3" w:rsidTr="00A90210">
        <w:trPr>
          <w:trHeight w:val="75"/>
          <w:jc w:val="center"/>
        </w:trPr>
        <w:tc>
          <w:tcPr>
            <w:tcW w:w="2081" w:type="pct"/>
            <w:tcBorders>
              <w:top w:val="single" w:sz="4" w:space="0" w:color="EAAB00"/>
              <w:left w:val="single" w:sz="4" w:space="0" w:color="EAAB00"/>
              <w:bottom w:val="single" w:sz="4" w:space="0" w:color="EAAB00"/>
              <w:right w:val="single" w:sz="4" w:space="0" w:color="EAAB00"/>
            </w:tcBorders>
            <w:shd w:val="clear" w:color="auto" w:fill="EAAB00"/>
            <w:tcMar>
              <w:left w:w="0" w:type="dxa"/>
              <w:right w:w="0" w:type="dxa"/>
            </w:tcMar>
            <w:vAlign w:val="center"/>
          </w:tcPr>
          <w:p w:rsidR="00625212" w:rsidRPr="004573B3" w:rsidRDefault="00625212" w:rsidP="00A90210">
            <w:pPr>
              <w:spacing w:after="0" w:line="240" w:lineRule="auto"/>
              <w:jc w:val="center"/>
              <w:rPr>
                <w:rFonts w:eastAsia="Calibri" w:cstheme="minorHAnsi"/>
                <w:color w:val="FFFFFF"/>
                <w:sz w:val="20"/>
                <w:szCs w:val="20"/>
              </w:rPr>
            </w:pPr>
          </w:p>
        </w:tc>
        <w:tc>
          <w:tcPr>
            <w:tcW w:w="1720" w:type="pct"/>
            <w:gridSpan w:val="2"/>
            <w:tcBorders>
              <w:top w:val="single" w:sz="4" w:space="0" w:color="EAAB00"/>
              <w:left w:val="single" w:sz="4" w:space="0" w:color="EAAB00"/>
              <w:bottom w:val="single" w:sz="4" w:space="0" w:color="EAAB00"/>
              <w:right w:val="single" w:sz="4" w:space="0" w:color="EAAB00"/>
            </w:tcBorders>
            <w:shd w:val="clear" w:color="auto" w:fill="EAAB00"/>
            <w:tcMar>
              <w:left w:w="0" w:type="dxa"/>
              <w:right w:w="0"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Pre-Procedure</w:t>
            </w:r>
          </w:p>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1199" w:type="pct"/>
            <w:gridSpan w:val="2"/>
            <w:tcBorders>
              <w:top w:val="single" w:sz="4" w:space="0" w:color="EAAB00"/>
              <w:left w:val="single" w:sz="4" w:space="0" w:color="EAAB00"/>
              <w:bottom w:val="single" w:sz="4" w:space="0" w:color="EAAB00"/>
              <w:right w:val="single" w:sz="4" w:space="0" w:color="EAAB00"/>
            </w:tcBorders>
            <w:shd w:val="clear" w:color="auto" w:fill="EAAB00"/>
            <w:tcMar>
              <w:left w:w="0" w:type="dxa"/>
              <w:right w:w="0"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Post-Procedure</w:t>
            </w:r>
          </w:p>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(n = 163)</w:t>
            </w:r>
          </w:p>
        </w:tc>
      </w:tr>
      <w:tr w:rsidR="00625212" w:rsidRPr="004573B3" w:rsidTr="00A90210">
        <w:trPr>
          <w:jc w:val="center"/>
        </w:trPr>
        <w:tc>
          <w:tcPr>
            <w:tcW w:w="2081" w:type="pct"/>
            <w:tcBorders>
              <w:top w:val="single" w:sz="4" w:space="0" w:color="EAAB00"/>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40" w:lineRule="auto"/>
              <w:rPr>
                <w:rFonts w:eastAsia="Calibri" w:cstheme="minorHAnsi"/>
                <w:b/>
                <w:sz w:val="20"/>
                <w:szCs w:val="20"/>
              </w:rPr>
            </w:pPr>
            <w:r w:rsidRPr="004573B3">
              <w:rPr>
                <w:rFonts w:eastAsia="Calibri" w:cstheme="minorHAnsi"/>
                <w:b/>
                <w:sz w:val="20"/>
                <w:szCs w:val="20"/>
              </w:rPr>
              <w:t>Type of Admission, n (%)</w:t>
            </w:r>
          </w:p>
        </w:tc>
        <w:tc>
          <w:tcPr>
            <w:tcW w:w="1720" w:type="pct"/>
            <w:gridSpan w:val="2"/>
            <w:tcBorders>
              <w:top w:val="single" w:sz="4" w:space="0" w:color="EAAB00"/>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40" w:lineRule="auto"/>
              <w:jc w:val="center"/>
              <w:rPr>
                <w:rFonts w:eastAsia="Calibri" w:cstheme="minorHAnsi"/>
                <w:sz w:val="20"/>
                <w:szCs w:val="20"/>
              </w:rPr>
            </w:pPr>
          </w:p>
        </w:tc>
        <w:tc>
          <w:tcPr>
            <w:tcW w:w="1199" w:type="pct"/>
            <w:gridSpan w:val="2"/>
            <w:tcBorders>
              <w:top w:val="single" w:sz="4" w:space="0" w:color="EAAB00"/>
              <w:left w:val="single" w:sz="4" w:space="0" w:color="F7E2CA"/>
              <w:bottom w:val="single" w:sz="4" w:space="0" w:color="FBF1E6"/>
              <w:right w:val="single" w:sz="4" w:space="0" w:color="F7E2CA"/>
            </w:tcBorders>
            <w:shd w:val="clear" w:color="auto" w:fill="F7E2CA"/>
            <w:tcMar>
              <w:left w:w="0" w:type="dxa"/>
              <w:right w:w="0" w:type="dxa"/>
            </w:tcMar>
            <w:vAlign w:val="center"/>
          </w:tcPr>
          <w:p w:rsidR="00625212" w:rsidRPr="004573B3" w:rsidRDefault="00625212" w:rsidP="00A90210">
            <w:pPr>
              <w:spacing w:after="0" w:line="240" w:lineRule="auto"/>
              <w:jc w:val="center"/>
              <w:rPr>
                <w:rFonts w:eastAsia="Calibri" w:cstheme="minorHAnsi"/>
                <w:sz w:val="20"/>
                <w:szCs w:val="20"/>
              </w:rPr>
            </w:pPr>
          </w:p>
        </w:tc>
      </w:tr>
      <w:tr w:rsidR="00625212" w:rsidRPr="004573B3" w:rsidTr="00A90210">
        <w:trPr>
          <w:trHeight w:val="441"/>
          <w:jc w:val="center"/>
        </w:trPr>
        <w:tc>
          <w:tcPr>
            <w:tcW w:w="2081" w:type="pct"/>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tcPr>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Medical</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Acute surgical</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Elective surgical</w:t>
            </w:r>
          </w:p>
        </w:tc>
        <w:tc>
          <w:tcPr>
            <w:tcW w:w="1720" w:type="pct"/>
            <w:gridSpan w:val="2"/>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147 (90.1)</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12 (7.4)</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4 (2.5)</w:t>
            </w:r>
          </w:p>
        </w:tc>
        <w:tc>
          <w:tcPr>
            <w:tcW w:w="1199" w:type="pct"/>
            <w:gridSpan w:val="2"/>
            <w:tcBorders>
              <w:top w:val="single" w:sz="4" w:space="0" w:color="FBF1E6"/>
              <w:left w:val="single" w:sz="4" w:space="0" w:color="FBF1E6"/>
              <w:bottom w:val="single" w:sz="4" w:space="0" w:color="FBF1E6"/>
              <w:right w:val="single" w:sz="4" w:space="0" w:color="FBF1E6"/>
            </w:tcBorders>
            <w:shd w:val="clear" w:color="auto" w:fill="FBF1E6"/>
            <w:tcMar>
              <w:left w:w="0" w:type="dxa"/>
              <w:right w:w="0" w:type="dxa"/>
            </w:tcMa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153 (93.9)</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9 (5.5)</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 (0.6)</w:t>
            </w:r>
          </w:p>
        </w:tc>
      </w:tr>
      <w:tr w:rsidR="00625212" w:rsidRPr="004573B3" w:rsidTr="00A90210">
        <w:trPr>
          <w:trHeight w:val="147"/>
          <w:jc w:val="center"/>
        </w:trPr>
        <w:tc>
          <w:tcPr>
            <w:tcW w:w="2081" w:type="pct"/>
            <w:tcBorders>
              <w:top w:val="single" w:sz="4" w:space="0" w:color="FBF1E6"/>
              <w:left w:val="single" w:sz="4" w:space="0" w:color="F7E2CA"/>
              <w:bottom w:val="single" w:sz="4" w:space="0" w:color="FBF1E6"/>
              <w:right w:val="single" w:sz="4" w:space="0" w:color="F7E2CA"/>
            </w:tcBorders>
            <w:shd w:val="clear" w:color="auto" w:fill="F7E2CA"/>
            <w:tcMar>
              <w:left w:w="0" w:type="dxa"/>
              <w:right w:w="0" w:type="dxa"/>
            </w:tcMar>
          </w:tcPr>
          <w:p w:rsidR="00625212" w:rsidRPr="004573B3" w:rsidRDefault="00625212" w:rsidP="00A90210">
            <w:pPr>
              <w:spacing w:after="0" w:line="240" w:lineRule="auto"/>
              <w:rPr>
                <w:rFonts w:eastAsia="Calibri" w:cstheme="minorHAnsi"/>
                <w:b/>
                <w:sz w:val="20"/>
                <w:szCs w:val="20"/>
              </w:rPr>
            </w:pPr>
            <w:r w:rsidRPr="004573B3">
              <w:rPr>
                <w:rFonts w:eastAsia="Calibri" w:cstheme="minorHAnsi"/>
                <w:b/>
                <w:sz w:val="20"/>
                <w:szCs w:val="20"/>
              </w:rPr>
              <w:t>Admitting Diagnosis, n (%)</w:t>
            </w:r>
          </w:p>
        </w:tc>
        <w:tc>
          <w:tcPr>
            <w:tcW w:w="1720" w:type="pct"/>
            <w:gridSpan w:val="2"/>
            <w:tcBorders>
              <w:top w:val="single" w:sz="4" w:space="0" w:color="FBF1E6"/>
              <w:left w:val="single" w:sz="4" w:space="0" w:color="F7E2CA"/>
              <w:bottom w:val="single" w:sz="4" w:space="0" w:color="FBF1E6"/>
              <w:right w:val="single" w:sz="4" w:space="0" w:color="F7E2CA"/>
            </w:tcBorders>
            <w:shd w:val="clear" w:color="auto" w:fill="F7E2CA"/>
            <w:tcMar>
              <w:left w:w="0" w:type="dxa"/>
              <w:right w:w="0" w:type="dxa"/>
            </w:tcMar>
          </w:tcPr>
          <w:p w:rsidR="00625212" w:rsidRPr="004573B3" w:rsidRDefault="00625212" w:rsidP="00A90210">
            <w:pPr>
              <w:spacing w:after="0" w:line="240" w:lineRule="auto"/>
              <w:jc w:val="center"/>
              <w:rPr>
                <w:rFonts w:eastAsia="Calibri" w:cstheme="minorHAnsi"/>
                <w:sz w:val="20"/>
                <w:szCs w:val="20"/>
              </w:rPr>
            </w:pPr>
          </w:p>
        </w:tc>
        <w:tc>
          <w:tcPr>
            <w:tcW w:w="1199" w:type="pct"/>
            <w:gridSpan w:val="2"/>
            <w:tcBorders>
              <w:top w:val="single" w:sz="4" w:space="0" w:color="FBF1E6"/>
              <w:left w:val="single" w:sz="4" w:space="0" w:color="F7E2CA"/>
              <w:bottom w:val="single" w:sz="4" w:space="0" w:color="FBF1E6"/>
              <w:right w:val="single" w:sz="4" w:space="0" w:color="F7E2CA"/>
            </w:tcBorders>
            <w:shd w:val="clear" w:color="auto" w:fill="F7E2CA"/>
            <w:tcMar>
              <w:left w:w="0" w:type="dxa"/>
              <w:right w:w="0" w:type="dxa"/>
            </w:tcMar>
          </w:tcPr>
          <w:p w:rsidR="00625212" w:rsidRPr="004573B3" w:rsidRDefault="00625212" w:rsidP="00A90210">
            <w:pPr>
              <w:spacing w:after="0" w:line="240" w:lineRule="auto"/>
              <w:jc w:val="center"/>
              <w:rPr>
                <w:rFonts w:eastAsia="Calibri" w:cstheme="minorHAnsi"/>
                <w:sz w:val="20"/>
                <w:szCs w:val="20"/>
              </w:rPr>
            </w:pPr>
          </w:p>
        </w:tc>
      </w:tr>
      <w:tr w:rsidR="00625212" w:rsidRPr="004573B3" w:rsidTr="00A90210">
        <w:trPr>
          <w:trHeight w:val="1176"/>
          <w:jc w:val="center"/>
        </w:trPr>
        <w:tc>
          <w:tcPr>
            <w:tcW w:w="2081" w:type="pct"/>
            <w:tcBorders>
              <w:top w:val="single" w:sz="4" w:space="0" w:color="FBF1E6"/>
              <w:left w:val="single" w:sz="4" w:space="0" w:color="FBF1E6"/>
              <w:bottom w:val="nil"/>
              <w:right w:val="single" w:sz="4" w:space="0" w:color="FBF1E6"/>
            </w:tcBorders>
            <w:shd w:val="clear" w:color="auto" w:fill="FBF1E6"/>
            <w:tcMar>
              <w:left w:w="0" w:type="dxa"/>
              <w:right w:w="0" w:type="dxa"/>
            </w:tcMar>
          </w:tcPr>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Respiratory</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Sepsis</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Cardiovascular</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Neurologic</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Gastrointestinal</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Metabolic/Endocrine</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Trauma</w:t>
            </w:r>
          </w:p>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Other</w:t>
            </w:r>
          </w:p>
        </w:tc>
        <w:tc>
          <w:tcPr>
            <w:tcW w:w="1720" w:type="pct"/>
            <w:gridSpan w:val="2"/>
            <w:tcBorders>
              <w:top w:val="single" w:sz="4" w:space="0" w:color="FBF1E6"/>
              <w:left w:val="single" w:sz="4" w:space="0" w:color="FBF1E6"/>
              <w:bottom w:val="nil"/>
              <w:right w:val="single" w:sz="4" w:space="0" w:color="FBF1E6"/>
            </w:tcBorders>
            <w:shd w:val="clear" w:color="auto" w:fill="FBF1E6"/>
            <w:tcMar>
              <w:left w:w="0" w:type="dxa"/>
              <w:right w:w="0" w:type="dxa"/>
            </w:tcMa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58 (35.6)</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40 (24.5)</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23 (14.1)</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19 (11.7)</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12 (7.4)</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4 (2.5)</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0 (0)</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5 (3.1)</w:t>
            </w:r>
          </w:p>
        </w:tc>
        <w:tc>
          <w:tcPr>
            <w:tcW w:w="1199" w:type="pct"/>
            <w:gridSpan w:val="2"/>
            <w:tcBorders>
              <w:top w:val="single" w:sz="4" w:space="0" w:color="FBF1E6"/>
              <w:left w:val="single" w:sz="4" w:space="0" w:color="FBF1E6"/>
              <w:bottom w:val="nil"/>
              <w:right w:val="single" w:sz="4" w:space="0" w:color="FBF1E6"/>
            </w:tcBorders>
            <w:shd w:val="clear" w:color="auto" w:fill="FBF1E6"/>
            <w:tcMar>
              <w:left w:w="0" w:type="dxa"/>
              <w:right w:w="0" w:type="dxa"/>
            </w:tcMa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66 (40.5)</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25 (15.3)</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30 (18.4)</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21 (12.9)</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8 (4.9)</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6 (3.9)</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 (0.6)</w:t>
            </w:r>
          </w:p>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5 (3.1)</w:t>
            </w:r>
          </w:p>
        </w:tc>
      </w:tr>
      <w:tr w:rsidR="00625212" w:rsidRPr="004573B3" w:rsidTr="00A90210">
        <w:trPr>
          <w:trHeight w:val="95"/>
          <w:jc w:val="center"/>
        </w:trPr>
        <w:tc>
          <w:tcPr>
            <w:tcW w:w="5000" w:type="pct"/>
            <w:gridSpan w:val="5"/>
            <w:tcBorders>
              <w:top w:val="nil"/>
              <w:left w:val="nil"/>
              <w:bottom w:val="nil"/>
              <w:right w:val="nil"/>
            </w:tcBorders>
            <w:tcMar>
              <w:left w:w="0" w:type="dxa"/>
              <w:right w:w="0" w:type="dxa"/>
            </w:tcMar>
            <w:vAlign w:val="center"/>
          </w:tcPr>
          <w:p w:rsidR="00625212" w:rsidRPr="004573B3" w:rsidRDefault="00625212" w:rsidP="00A90210">
            <w:pPr>
              <w:spacing w:after="0" w:line="240" w:lineRule="auto"/>
              <w:rPr>
                <w:rFonts w:eastAsia="Calibri" w:cstheme="minorHAnsi"/>
                <w:sz w:val="20"/>
                <w:szCs w:val="20"/>
              </w:rPr>
            </w:pPr>
            <w:r w:rsidRPr="004573B3">
              <w:rPr>
                <w:rFonts w:eastAsia="Calibri" w:cstheme="minorHAnsi"/>
                <w:b/>
                <w:sz w:val="20"/>
                <w:szCs w:val="20"/>
              </w:rPr>
              <w:t xml:space="preserve">Table 2: Baseline ICU admission type and admitting diagnosis </w:t>
            </w:r>
          </w:p>
        </w:tc>
      </w:tr>
    </w:tbl>
    <w:p w:rsidR="00625212" w:rsidRDefault="00625212" w:rsidP="00625212">
      <w:pPr>
        <w:spacing w:after="0" w:line="240" w:lineRule="auto"/>
        <w:jc w:val="both"/>
        <w:rPr>
          <w:rFonts w:cstheme="minorHAnsi"/>
        </w:rPr>
        <w:sectPr w:rsidR="00625212" w:rsidSect="00625212">
          <w:type w:val="continuous"/>
          <w:pgSz w:w="12240" w:h="15840"/>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8A7669" w:rsidRPr="008A7669" w:rsidRDefault="008A7669" w:rsidP="008A7669">
      <w:pPr>
        <w:spacing w:after="0" w:line="240" w:lineRule="auto"/>
        <w:jc w:val="both"/>
        <w:rPr>
          <w:rFonts w:cstheme="minorHAnsi"/>
          <w:b/>
          <w:sz w:val="24"/>
        </w:rPr>
      </w:pPr>
      <w:r w:rsidRPr="008A7669">
        <w:rPr>
          <w:rFonts w:cstheme="minorHAnsi"/>
          <w:b/>
          <w:sz w:val="24"/>
        </w:rPr>
        <w:t xml:space="preserve">Results </w:t>
      </w:r>
    </w:p>
    <w:p w:rsidR="008A7669" w:rsidRPr="008A7669" w:rsidRDefault="008A7669" w:rsidP="008A7669">
      <w:pPr>
        <w:spacing w:after="0" w:line="240" w:lineRule="auto"/>
        <w:jc w:val="both"/>
        <w:rPr>
          <w:rFonts w:cstheme="minorHAnsi"/>
        </w:rPr>
      </w:pPr>
      <w:r w:rsidRPr="008A7669">
        <w:rPr>
          <w:rFonts w:cstheme="minorHAnsi"/>
        </w:rPr>
        <w:t xml:space="preserve">A total of 326 patients were included in the final analysis of this study. Baseline characteristics, as presented in Table 1, were well balanced between the study groups, except for the identification of COVID-positive patients, which differed significantly (0% vs. 23.3%, p &lt; 0.001). The majority of ICU admissions were medical (90.1% vs. 93.9%), with respiratory causes being the most common (35.6% vs. 40.5%), as shown in Table 2. Regarding the primary outcome of mechanical ventilation days, no statistically significant difference was found between </w:t>
      </w:r>
      <w:r w:rsidRPr="008A7669">
        <w:rPr>
          <w:rFonts w:cstheme="minorHAnsi"/>
        </w:rPr>
        <w:t xml:space="preserve">the two groups after the initiation of the continuous sedation stop procedure (5.60 vs. 5.37, p = 0.498). </w:t>
      </w:r>
    </w:p>
    <w:p w:rsidR="008A7669" w:rsidRPr="008A7669" w:rsidRDefault="008A7669" w:rsidP="00625212">
      <w:pPr>
        <w:spacing w:after="0" w:line="240" w:lineRule="auto"/>
        <w:ind w:firstLine="720"/>
        <w:jc w:val="both"/>
        <w:rPr>
          <w:rFonts w:cstheme="minorHAnsi"/>
        </w:rPr>
      </w:pPr>
      <w:r w:rsidRPr="008A7669">
        <w:rPr>
          <w:rFonts w:cstheme="minorHAnsi"/>
        </w:rPr>
        <w:t xml:space="preserve">However, notable differences were observed in several secondary outcomes. Specifically, there was a significant difference in the proportion of patients achieving the desired Richmond Agitation-Sedation Scale (RASS) scores after discontinuation of continuous sedation (8% vs. 40%, p &lt; 0.001). Furthermore, the intervention group had significantly fewer continuous sedation days (4.96 vs. 3.70, p &lt; 0.001) and lower total sedation </w:t>
      </w:r>
      <w:r w:rsidRPr="008A7669">
        <w:rPr>
          <w:rFonts w:cstheme="minorHAnsi"/>
        </w:rPr>
        <w:lastRenderedPageBreak/>
        <w:t xml:space="preserve">hours (121.79 vs. 95.47, p = 0.002) compared to the pre-procedure group (Table 3). </w:t>
      </w:r>
    </w:p>
    <w:p w:rsidR="00625212" w:rsidRDefault="008A7669" w:rsidP="00625212">
      <w:pPr>
        <w:spacing w:after="0" w:line="240" w:lineRule="auto"/>
        <w:ind w:firstLine="720"/>
        <w:jc w:val="both"/>
        <w:rPr>
          <w:rFonts w:cstheme="minorHAnsi"/>
        </w:rPr>
      </w:pPr>
      <w:r w:rsidRPr="008A7669">
        <w:rPr>
          <w:rFonts w:cstheme="minorHAnsi"/>
        </w:rPr>
        <w:t>In terms of other secondary outcomes, as shown in Table 3, no significant differences were observed between the pre- and post-procedure groups. Additionally, our study revealed a lower rate of propofol use after the initiation of the continuous sedation stop procedure (78.5% vs. 63.8%, p = 0.005), as presented in Table 4.</w:t>
      </w: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Default="00625212" w:rsidP="00625212">
      <w:pPr>
        <w:spacing w:after="0" w:line="240" w:lineRule="auto"/>
        <w:ind w:firstLine="720"/>
        <w:jc w:val="both"/>
        <w:rPr>
          <w:rFonts w:cstheme="minorHAnsi"/>
        </w:rPr>
      </w:pPr>
    </w:p>
    <w:p w:rsidR="00625212" w:rsidRPr="008A7669" w:rsidRDefault="00625212" w:rsidP="00625212">
      <w:pPr>
        <w:spacing w:after="0" w:line="240" w:lineRule="auto"/>
        <w:ind w:firstLine="720"/>
        <w:jc w:val="both"/>
        <w:rPr>
          <w:rFonts w:cstheme="minorHAnsi"/>
        </w:rPr>
      </w:pPr>
    </w:p>
    <w:p w:rsidR="008A7669" w:rsidRDefault="008A7669" w:rsidP="008A7669">
      <w:pPr>
        <w:spacing w:after="0" w:line="240" w:lineRule="auto"/>
        <w:jc w:val="both"/>
        <w:rPr>
          <w:rFonts w:cstheme="minorHAnsi"/>
        </w:rPr>
      </w:pPr>
    </w:p>
    <w:p w:rsidR="00625212" w:rsidRDefault="00625212" w:rsidP="00A90210">
      <w:pPr>
        <w:spacing w:after="0" w:line="240" w:lineRule="auto"/>
        <w:jc w:val="center"/>
        <w:rPr>
          <w:rFonts w:eastAsia="Calibri" w:cstheme="minorHAnsi"/>
          <w:color w:val="FFFFFF"/>
          <w:sz w:val="20"/>
          <w:szCs w:val="20"/>
        </w:rPr>
        <w:sectPr w:rsidR="00625212" w:rsidSect="008A7669">
          <w:type w:val="continuous"/>
          <w:pgSz w:w="12240" w:h="15840"/>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72"/>
        <w:gridCol w:w="332"/>
        <w:gridCol w:w="1500"/>
        <w:gridCol w:w="461"/>
        <w:gridCol w:w="1372"/>
        <w:gridCol w:w="590"/>
        <w:gridCol w:w="1243"/>
      </w:tblGrid>
      <w:tr w:rsidR="00625212" w:rsidRPr="004573B3" w:rsidTr="00625212">
        <w:trPr>
          <w:jc w:val="center"/>
        </w:trPr>
        <w:tc>
          <w:tcPr>
            <w:tcW w:w="2435" w:type="pct"/>
            <w:gridSpan w:val="2"/>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p>
        </w:tc>
        <w:tc>
          <w:tcPr>
            <w:tcW w:w="974" w:type="pct"/>
            <w:gridSpan w:val="2"/>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Pre-Procedure</w:t>
            </w:r>
          </w:p>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974" w:type="pct"/>
            <w:gridSpan w:val="2"/>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Post-Procedure</w:t>
            </w:r>
          </w:p>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617" w:type="pct"/>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 Value</w:t>
            </w:r>
          </w:p>
        </w:tc>
      </w:tr>
      <w:tr w:rsidR="00625212" w:rsidRPr="004573B3" w:rsidTr="00625212">
        <w:trPr>
          <w:trHeight w:val="147"/>
          <w:jc w:val="center"/>
        </w:trPr>
        <w:tc>
          <w:tcPr>
            <w:tcW w:w="2435" w:type="pct"/>
            <w:gridSpan w:val="2"/>
            <w:tcBorders>
              <w:top w:val="single" w:sz="4" w:space="0" w:color="EAAB00"/>
              <w:left w:val="single" w:sz="4" w:space="0" w:color="F7E2CA"/>
              <w:bottom w:val="single" w:sz="4"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rPr>
                <w:rFonts w:eastAsia="Calibri" w:cstheme="minorHAnsi"/>
                <w:b/>
                <w:sz w:val="20"/>
                <w:szCs w:val="20"/>
              </w:rPr>
            </w:pPr>
            <w:r w:rsidRPr="004573B3">
              <w:rPr>
                <w:rFonts w:eastAsia="Calibri" w:cstheme="minorHAnsi"/>
                <w:b/>
                <w:sz w:val="20"/>
                <w:szCs w:val="20"/>
              </w:rPr>
              <w:t>Primary Outcome</w:t>
            </w:r>
          </w:p>
        </w:tc>
        <w:tc>
          <w:tcPr>
            <w:tcW w:w="974" w:type="pct"/>
            <w:gridSpan w:val="2"/>
            <w:tcBorders>
              <w:top w:val="single" w:sz="4" w:space="0" w:color="EAAB00"/>
              <w:left w:val="single" w:sz="4" w:space="0" w:color="F7E2CA"/>
              <w:bottom w:val="single" w:sz="4"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p>
        </w:tc>
        <w:tc>
          <w:tcPr>
            <w:tcW w:w="974" w:type="pct"/>
            <w:gridSpan w:val="2"/>
            <w:tcBorders>
              <w:top w:val="single" w:sz="4" w:space="0" w:color="EAAB00"/>
              <w:left w:val="single" w:sz="4" w:space="0" w:color="F7E2CA"/>
              <w:bottom w:val="single" w:sz="4"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p>
        </w:tc>
        <w:tc>
          <w:tcPr>
            <w:tcW w:w="617" w:type="pct"/>
            <w:tcBorders>
              <w:top w:val="single" w:sz="4" w:space="0" w:color="EAAB00"/>
              <w:left w:val="single" w:sz="4" w:space="0" w:color="F7E2CA"/>
              <w:bottom w:val="single" w:sz="4"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p>
        </w:tc>
      </w:tr>
      <w:tr w:rsidR="00625212" w:rsidRPr="004573B3" w:rsidTr="00625212">
        <w:trPr>
          <w:trHeight w:val="97"/>
          <w:jc w:val="center"/>
        </w:trPr>
        <w:tc>
          <w:tcPr>
            <w:tcW w:w="2435" w:type="pct"/>
            <w:gridSpan w:val="2"/>
            <w:tcBorders>
              <w:top w:val="single" w:sz="4" w:space="0" w:color="F7E2CA"/>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Mechanical ventilation days, mean (SD)</w:t>
            </w:r>
          </w:p>
        </w:tc>
        <w:tc>
          <w:tcPr>
            <w:tcW w:w="974" w:type="pct"/>
            <w:gridSpan w:val="2"/>
            <w:tcBorders>
              <w:top w:val="single" w:sz="4" w:space="0" w:color="F7E2CA"/>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 xml:space="preserve"> 5.60 (3.2)</w:t>
            </w:r>
          </w:p>
        </w:tc>
        <w:tc>
          <w:tcPr>
            <w:tcW w:w="974" w:type="pct"/>
            <w:gridSpan w:val="2"/>
            <w:tcBorders>
              <w:top w:val="single" w:sz="4" w:space="0" w:color="F7E2CA"/>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 xml:space="preserve"> 5.37 (3.1)</w:t>
            </w:r>
          </w:p>
        </w:tc>
        <w:tc>
          <w:tcPr>
            <w:tcW w:w="617" w:type="pct"/>
            <w:tcBorders>
              <w:top w:val="single" w:sz="4" w:space="0" w:color="F7E2CA"/>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 xml:space="preserve"> 0.498</w:t>
            </w:r>
          </w:p>
        </w:tc>
      </w:tr>
      <w:tr w:rsidR="00625212" w:rsidRPr="004573B3" w:rsidTr="00625212">
        <w:trPr>
          <w:trHeight w:val="147"/>
          <w:jc w:val="center"/>
        </w:trPr>
        <w:tc>
          <w:tcPr>
            <w:tcW w:w="2435" w:type="pct"/>
            <w:gridSpan w:val="2"/>
            <w:tcBorders>
              <w:top w:val="single" w:sz="4" w:space="0" w:color="FBF1E6"/>
              <w:left w:val="single" w:sz="4" w:space="0" w:color="F7E2CA"/>
              <w:bottom w:val="single" w:sz="8"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rPr>
                <w:rFonts w:eastAsia="Calibri" w:cstheme="minorHAnsi"/>
                <w:b/>
                <w:sz w:val="20"/>
                <w:szCs w:val="20"/>
              </w:rPr>
            </w:pPr>
            <w:r w:rsidRPr="004573B3">
              <w:rPr>
                <w:rFonts w:eastAsia="Calibri" w:cstheme="minorHAnsi"/>
                <w:b/>
                <w:sz w:val="20"/>
                <w:szCs w:val="20"/>
              </w:rPr>
              <w:t xml:space="preserve">Secondary Outcomes </w:t>
            </w:r>
          </w:p>
        </w:tc>
        <w:tc>
          <w:tcPr>
            <w:tcW w:w="974" w:type="pct"/>
            <w:gridSpan w:val="2"/>
            <w:tcBorders>
              <w:top w:val="single" w:sz="4" w:space="0" w:color="FBF1E6"/>
              <w:left w:val="single" w:sz="4" w:space="0" w:color="F7E2CA"/>
              <w:bottom w:val="single" w:sz="8"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p>
        </w:tc>
        <w:tc>
          <w:tcPr>
            <w:tcW w:w="974" w:type="pct"/>
            <w:gridSpan w:val="2"/>
            <w:tcBorders>
              <w:top w:val="single" w:sz="4" w:space="0" w:color="FBF1E6"/>
              <w:left w:val="single" w:sz="4" w:space="0" w:color="F7E2CA"/>
              <w:bottom w:val="single" w:sz="8"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p>
        </w:tc>
        <w:tc>
          <w:tcPr>
            <w:tcW w:w="617" w:type="pct"/>
            <w:tcBorders>
              <w:top w:val="single" w:sz="4" w:space="0" w:color="FBF1E6"/>
              <w:left w:val="single" w:sz="4" w:space="0" w:color="F7E2CA"/>
              <w:bottom w:val="single" w:sz="8" w:space="0" w:color="F7E2CA"/>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p>
        </w:tc>
      </w:tr>
      <w:tr w:rsidR="00625212" w:rsidRPr="004573B3" w:rsidTr="00625212">
        <w:trPr>
          <w:trHeight w:val="146"/>
          <w:jc w:val="center"/>
        </w:trPr>
        <w:tc>
          <w:tcPr>
            <w:tcW w:w="2435" w:type="pct"/>
            <w:gridSpan w:val="2"/>
            <w:tcBorders>
              <w:top w:val="single" w:sz="8" w:space="0" w:color="F7E2CA"/>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All-cause mortality, n (%)</w:t>
            </w:r>
          </w:p>
        </w:tc>
        <w:tc>
          <w:tcPr>
            <w:tcW w:w="974" w:type="pct"/>
            <w:gridSpan w:val="2"/>
            <w:tcBorders>
              <w:top w:val="single" w:sz="8" w:space="0" w:color="F7E2CA"/>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23 (14)</w:t>
            </w:r>
          </w:p>
        </w:tc>
        <w:tc>
          <w:tcPr>
            <w:tcW w:w="974" w:type="pct"/>
            <w:gridSpan w:val="2"/>
            <w:tcBorders>
              <w:top w:val="single" w:sz="8" w:space="0" w:color="F7E2CA"/>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21 (13)</w:t>
            </w:r>
          </w:p>
        </w:tc>
        <w:tc>
          <w:tcPr>
            <w:tcW w:w="617" w:type="pct"/>
            <w:tcBorders>
              <w:top w:val="single" w:sz="8" w:space="0" w:color="F7E2CA"/>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0.871</w:t>
            </w:r>
          </w:p>
        </w:tc>
      </w:tr>
      <w:tr w:rsidR="00625212" w:rsidRPr="004573B3" w:rsidTr="00625212">
        <w:trPr>
          <w:trHeight w:val="146"/>
          <w:jc w:val="center"/>
        </w:trPr>
        <w:tc>
          <w:tcPr>
            <w:tcW w:w="2435"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CAM positive days, mean (SD)</w:t>
            </w:r>
          </w:p>
        </w:tc>
        <w:tc>
          <w:tcPr>
            <w:tcW w:w="974"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6.82 (4.2)</w:t>
            </w:r>
          </w:p>
        </w:tc>
        <w:tc>
          <w:tcPr>
            <w:tcW w:w="974"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6.85 (3.8)</w:t>
            </w:r>
          </w:p>
        </w:tc>
        <w:tc>
          <w:tcPr>
            <w:tcW w:w="617" w:type="pct"/>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0.953</w:t>
            </w:r>
          </w:p>
        </w:tc>
      </w:tr>
      <w:tr w:rsidR="00625212" w:rsidRPr="004573B3" w:rsidTr="00625212">
        <w:trPr>
          <w:trHeight w:val="146"/>
          <w:jc w:val="center"/>
        </w:trPr>
        <w:tc>
          <w:tcPr>
            <w:tcW w:w="2435" w:type="pct"/>
            <w:gridSpan w:val="2"/>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ICU days, mean (SD)</w:t>
            </w:r>
          </w:p>
        </w:tc>
        <w:tc>
          <w:tcPr>
            <w:tcW w:w="974" w:type="pct"/>
            <w:gridSpan w:val="2"/>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8.52 (4.1)</w:t>
            </w:r>
          </w:p>
        </w:tc>
        <w:tc>
          <w:tcPr>
            <w:tcW w:w="974" w:type="pct"/>
            <w:gridSpan w:val="2"/>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8.07 (4)</w:t>
            </w:r>
          </w:p>
        </w:tc>
        <w:tc>
          <w:tcPr>
            <w:tcW w:w="617" w:type="pct"/>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0.322</w:t>
            </w:r>
          </w:p>
        </w:tc>
      </w:tr>
      <w:tr w:rsidR="00625212" w:rsidRPr="004573B3" w:rsidTr="00625212">
        <w:trPr>
          <w:trHeight w:val="146"/>
          <w:jc w:val="center"/>
        </w:trPr>
        <w:tc>
          <w:tcPr>
            <w:tcW w:w="2435" w:type="pct"/>
            <w:gridSpan w:val="2"/>
            <w:tcBorders>
              <w:top w:val="single" w:sz="24"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RASS achieved off continuous sedation, n (%)</w:t>
            </w:r>
          </w:p>
        </w:tc>
        <w:tc>
          <w:tcPr>
            <w:tcW w:w="974" w:type="pct"/>
            <w:gridSpan w:val="2"/>
            <w:tcBorders>
              <w:top w:val="single" w:sz="24"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13 (8)</w:t>
            </w:r>
          </w:p>
        </w:tc>
        <w:tc>
          <w:tcPr>
            <w:tcW w:w="974" w:type="pct"/>
            <w:gridSpan w:val="2"/>
            <w:tcBorders>
              <w:top w:val="single" w:sz="24"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65 (40)</w:t>
            </w:r>
          </w:p>
        </w:tc>
        <w:tc>
          <w:tcPr>
            <w:tcW w:w="617" w:type="pct"/>
            <w:tcBorders>
              <w:top w:val="single" w:sz="24"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&lt; 0.001</w:t>
            </w:r>
          </w:p>
        </w:tc>
      </w:tr>
      <w:tr w:rsidR="00625212" w:rsidRPr="004573B3" w:rsidTr="00625212">
        <w:trPr>
          <w:trHeight w:val="146"/>
          <w:jc w:val="center"/>
        </w:trPr>
        <w:tc>
          <w:tcPr>
            <w:tcW w:w="2435" w:type="pct"/>
            <w:gridSpan w:val="2"/>
            <w:tcBorders>
              <w:top w:val="single" w:sz="24"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Continuous sedation days, mean (SD)</w:t>
            </w:r>
          </w:p>
        </w:tc>
        <w:tc>
          <w:tcPr>
            <w:tcW w:w="974" w:type="pct"/>
            <w:gridSpan w:val="2"/>
            <w:tcBorders>
              <w:top w:val="single" w:sz="24"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4.96 (3.4)</w:t>
            </w:r>
          </w:p>
        </w:tc>
        <w:tc>
          <w:tcPr>
            <w:tcW w:w="974" w:type="pct"/>
            <w:gridSpan w:val="2"/>
            <w:tcBorders>
              <w:top w:val="single" w:sz="24"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3.70 (2.9)</w:t>
            </w:r>
          </w:p>
        </w:tc>
        <w:tc>
          <w:tcPr>
            <w:tcW w:w="617" w:type="pct"/>
            <w:tcBorders>
              <w:top w:val="single" w:sz="24"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&lt; 0.001</w:t>
            </w:r>
          </w:p>
        </w:tc>
      </w:tr>
      <w:tr w:rsidR="00625212" w:rsidRPr="004573B3" w:rsidTr="00625212">
        <w:trPr>
          <w:trHeight w:val="146"/>
          <w:jc w:val="center"/>
        </w:trPr>
        <w:tc>
          <w:tcPr>
            <w:tcW w:w="2435"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Continuous sedation restarted, n (%)</w:t>
            </w:r>
          </w:p>
        </w:tc>
        <w:tc>
          <w:tcPr>
            <w:tcW w:w="974"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6 (3.7)</w:t>
            </w:r>
          </w:p>
        </w:tc>
        <w:tc>
          <w:tcPr>
            <w:tcW w:w="974"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12 (7.4)</w:t>
            </w:r>
          </w:p>
        </w:tc>
        <w:tc>
          <w:tcPr>
            <w:tcW w:w="617" w:type="pct"/>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0.145</w:t>
            </w:r>
          </w:p>
        </w:tc>
      </w:tr>
      <w:tr w:rsidR="00625212" w:rsidRPr="004573B3" w:rsidTr="00625212">
        <w:trPr>
          <w:trHeight w:val="146"/>
          <w:jc w:val="center"/>
        </w:trPr>
        <w:tc>
          <w:tcPr>
            <w:tcW w:w="2435" w:type="pct"/>
            <w:gridSpan w:val="2"/>
            <w:tcBorders>
              <w:top w:val="single" w:sz="8" w:space="0" w:color="FBF1E6"/>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Total sedation hours, mean (SD)</w:t>
            </w:r>
          </w:p>
        </w:tc>
        <w:tc>
          <w:tcPr>
            <w:tcW w:w="974" w:type="pct"/>
            <w:gridSpan w:val="2"/>
            <w:tcBorders>
              <w:top w:val="single" w:sz="8" w:space="0" w:color="FBF1E6"/>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121.79 (81.9)</w:t>
            </w:r>
          </w:p>
        </w:tc>
        <w:tc>
          <w:tcPr>
            <w:tcW w:w="974" w:type="pct"/>
            <w:gridSpan w:val="2"/>
            <w:tcBorders>
              <w:top w:val="single" w:sz="8" w:space="0" w:color="FBF1E6"/>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95.47 (72)</w:t>
            </w:r>
          </w:p>
        </w:tc>
        <w:tc>
          <w:tcPr>
            <w:tcW w:w="617" w:type="pct"/>
            <w:tcBorders>
              <w:top w:val="single" w:sz="8" w:space="0" w:color="FBF1E6"/>
              <w:left w:val="single" w:sz="4" w:space="0" w:color="FBF1E6"/>
              <w:bottom w:val="single" w:sz="4" w:space="0" w:color="FBF1E6"/>
              <w:right w:val="single" w:sz="4"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sz w:val="20"/>
                <w:szCs w:val="20"/>
              </w:rPr>
            </w:pPr>
            <w:r w:rsidRPr="004573B3">
              <w:rPr>
                <w:rFonts w:eastAsia="Calibri" w:cstheme="minorHAnsi"/>
                <w:sz w:val="20"/>
                <w:szCs w:val="20"/>
              </w:rPr>
              <w:t>0.002</w:t>
            </w:r>
          </w:p>
        </w:tc>
      </w:tr>
      <w:tr w:rsidR="00625212" w:rsidRPr="004573B3" w:rsidTr="00625212">
        <w:trPr>
          <w:jc w:val="center"/>
        </w:trPr>
        <w:tc>
          <w:tcPr>
            <w:tcW w:w="5000" w:type="pct"/>
            <w:gridSpan w:val="7"/>
            <w:tcBorders>
              <w:top w:val="single" w:sz="4" w:space="0" w:color="FBF1E6"/>
              <w:left w:val="single" w:sz="4" w:space="0" w:color="FFFFFF"/>
              <w:bottom w:val="single" w:sz="4" w:space="0" w:color="FFFFFF"/>
              <w:right w:val="single" w:sz="4" w:space="0" w:color="FFFFFF"/>
            </w:tcBorders>
            <w:tcMar>
              <w:left w:w="0" w:type="dxa"/>
              <w:right w:w="0" w:type="dxa"/>
            </w:tcMar>
            <w:vAlign w:val="center"/>
          </w:tcPr>
          <w:p w:rsidR="00625212" w:rsidRDefault="00625212" w:rsidP="00A90210">
            <w:pPr>
              <w:spacing w:after="0" w:line="240" w:lineRule="auto"/>
              <w:rPr>
                <w:rFonts w:eastAsia="Calibri" w:cstheme="minorHAnsi"/>
                <w:b/>
                <w:sz w:val="20"/>
                <w:szCs w:val="20"/>
              </w:rPr>
            </w:pPr>
            <w:r w:rsidRPr="004573B3">
              <w:rPr>
                <w:rFonts w:eastAsia="Calibri" w:cstheme="minorHAnsi"/>
                <w:b/>
                <w:sz w:val="20"/>
                <w:szCs w:val="20"/>
              </w:rPr>
              <w:t>Table 3: Outcomes</w:t>
            </w:r>
          </w:p>
          <w:p w:rsidR="00625212" w:rsidRPr="004573B3" w:rsidRDefault="00625212" w:rsidP="00A90210">
            <w:pPr>
              <w:spacing w:after="0" w:line="240" w:lineRule="auto"/>
              <w:rPr>
                <w:rFonts w:eastAsia="Calibri" w:cstheme="minorHAnsi"/>
                <w:sz w:val="20"/>
                <w:szCs w:val="20"/>
              </w:rPr>
            </w:pPr>
          </w:p>
        </w:tc>
      </w:tr>
      <w:tr w:rsidR="00625212" w:rsidRPr="004573B3" w:rsidTr="00625212">
        <w:trPr>
          <w:trHeight w:val="270"/>
          <w:jc w:val="center"/>
        </w:trPr>
        <w:tc>
          <w:tcPr>
            <w:tcW w:w="2270" w:type="pct"/>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p>
        </w:tc>
        <w:tc>
          <w:tcPr>
            <w:tcW w:w="910" w:type="pct"/>
            <w:gridSpan w:val="2"/>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Pre-Procedure</w:t>
            </w:r>
          </w:p>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910" w:type="pct"/>
            <w:gridSpan w:val="2"/>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Post-Procedure</w:t>
            </w:r>
          </w:p>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(n = 163)</w:t>
            </w:r>
          </w:p>
        </w:tc>
        <w:tc>
          <w:tcPr>
            <w:tcW w:w="910" w:type="pct"/>
            <w:gridSpan w:val="2"/>
            <w:tcBorders>
              <w:top w:val="single" w:sz="4" w:space="0" w:color="EAAB00"/>
              <w:left w:val="single" w:sz="4" w:space="0" w:color="EAAB00"/>
              <w:bottom w:val="single" w:sz="4" w:space="0" w:color="EAAB00"/>
              <w:right w:val="single" w:sz="4" w:space="0" w:color="EAAB00"/>
            </w:tcBorders>
            <w:shd w:val="clear" w:color="auto" w:fill="EAAB00"/>
            <w:tcMar>
              <w:top w:w="28" w:type="dxa"/>
              <w:left w:w="28" w:type="dxa"/>
              <w:bottom w:w="28" w:type="dxa"/>
              <w:right w:w="28" w:type="dxa"/>
            </w:tcMar>
            <w:vAlign w:val="center"/>
          </w:tcPr>
          <w:p w:rsidR="00625212" w:rsidRPr="004573B3" w:rsidRDefault="00625212" w:rsidP="00A90210">
            <w:pPr>
              <w:spacing w:after="0" w:line="240" w:lineRule="auto"/>
              <w:jc w:val="center"/>
              <w:rPr>
                <w:rFonts w:eastAsia="Calibri" w:cstheme="minorHAnsi"/>
                <w:color w:val="FFFFFF"/>
                <w:sz w:val="20"/>
                <w:szCs w:val="20"/>
              </w:rPr>
            </w:pPr>
            <w:r w:rsidRPr="004573B3">
              <w:rPr>
                <w:rFonts w:eastAsia="Calibri" w:cstheme="minorHAnsi"/>
                <w:b/>
                <w:color w:val="FFFFFF"/>
                <w:sz w:val="20"/>
                <w:szCs w:val="20"/>
              </w:rPr>
              <w:t>P Value</w:t>
            </w:r>
          </w:p>
        </w:tc>
      </w:tr>
      <w:tr w:rsidR="00625212" w:rsidRPr="004573B3" w:rsidTr="00625212">
        <w:trPr>
          <w:trHeight w:val="177"/>
          <w:jc w:val="center"/>
        </w:trPr>
        <w:tc>
          <w:tcPr>
            <w:tcW w:w="5000" w:type="pct"/>
            <w:gridSpan w:val="7"/>
            <w:tcBorders>
              <w:top w:val="single" w:sz="4" w:space="0" w:color="EAAB00"/>
              <w:left w:val="single" w:sz="4" w:space="0" w:color="F7E2CA"/>
              <w:bottom w:val="single" w:sz="4" w:space="0" w:color="FBF1E6"/>
              <w:right w:val="single" w:sz="4" w:space="0" w:color="F7E2CA"/>
            </w:tcBorders>
            <w:shd w:val="clear" w:color="auto" w:fill="F7E2CA"/>
            <w:tcMar>
              <w:top w:w="28" w:type="dxa"/>
              <w:left w:w="28" w:type="dxa"/>
              <w:bottom w:w="28" w:type="dxa"/>
              <w:right w:w="28" w:type="dxa"/>
            </w:tcMar>
            <w:vAlign w:val="center"/>
          </w:tcPr>
          <w:p w:rsidR="00625212" w:rsidRPr="004573B3" w:rsidRDefault="00625212" w:rsidP="00A90210">
            <w:pPr>
              <w:spacing w:after="0" w:line="240" w:lineRule="auto"/>
              <w:rPr>
                <w:rFonts w:eastAsia="Calibri" w:cstheme="minorHAnsi"/>
                <w:b/>
                <w:sz w:val="20"/>
                <w:szCs w:val="20"/>
              </w:rPr>
            </w:pPr>
            <w:r w:rsidRPr="004573B3">
              <w:rPr>
                <w:rFonts w:eastAsia="Calibri" w:cstheme="minorHAnsi"/>
                <w:b/>
                <w:sz w:val="20"/>
                <w:szCs w:val="20"/>
              </w:rPr>
              <w:t>Continuous Sedation Medication Used, n (%)</w:t>
            </w:r>
          </w:p>
        </w:tc>
      </w:tr>
      <w:tr w:rsidR="00625212" w:rsidRPr="004573B3" w:rsidTr="00625212">
        <w:trPr>
          <w:trHeight w:val="146"/>
          <w:jc w:val="center"/>
        </w:trPr>
        <w:tc>
          <w:tcPr>
            <w:tcW w:w="2270" w:type="pct"/>
            <w:tcBorders>
              <w:top w:val="single" w:sz="4" w:space="0" w:color="FBF1E6"/>
              <w:left w:val="single" w:sz="4"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spacing w:after="0" w:line="240" w:lineRule="auto"/>
              <w:rPr>
                <w:rFonts w:eastAsia="Calibri" w:cstheme="minorHAnsi"/>
                <w:sz w:val="20"/>
                <w:szCs w:val="20"/>
              </w:rPr>
            </w:pPr>
            <w:r w:rsidRPr="004573B3">
              <w:rPr>
                <w:rFonts w:eastAsia="Calibri" w:cstheme="minorHAnsi"/>
                <w:sz w:val="20"/>
                <w:szCs w:val="20"/>
              </w:rPr>
              <w:t>Fentanyl</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163 (100)</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163 (100)</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1.00</w:t>
            </w:r>
          </w:p>
        </w:tc>
      </w:tr>
      <w:tr w:rsidR="00625212" w:rsidRPr="004573B3" w:rsidTr="00625212">
        <w:trPr>
          <w:trHeight w:val="146"/>
          <w:jc w:val="center"/>
        </w:trPr>
        <w:tc>
          <w:tcPr>
            <w:tcW w:w="2270" w:type="pct"/>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Dexmedetomidine</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116 (71.2)</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100 (61.3)</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0.079</w:t>
            </w:r>
          </w:p>
        </w:tc>
      </w:tr>
      <w:tr w:rsidR="00625212" w:rsidRPr="004573B3" w:rsidTr="00625212">
        <w:trPr>
          <w:trHeight w:val="146"/>
          <w:jc w:val="center"/>
        </w:trPr>
        <w:tc>
          <w:tcPr>
            <w:tcW w:w="2270" w:type="pct"/>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Propofol</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128 (78.5)</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104 (63.8)</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0.005</w:t>
            </w:r>
          </w:p>
        </w:tc>
      </w:tr>
      <w:tr w:rsidR="00625212" w:rsidRPr="004573B3" w:rsidTr="00625212">
        <w:trPr>
          <w:jc w:val="center"/>
        </w:trPr>
        <w:tc>
          <w:tcPr>
            <w:tcW w:w="2270" w:type="pct"/>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Benzodiazepine</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23 (14.1)</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19 (11.7)</w:t>
            </w:r>
          </w:p>
        </w:tc>
        <w:tc>
          <w:tcPr>
            <w:tcW w:w="910" w:type="pct"/>
            <w:gridSpan w:val="2"/>
            <w:tcBorders>
              <w:top w:val="single" w:sz="8" w:space="0" w:color="FBF1E6"/>
              <w:left w:val="single" w:sz="8" w:space="0" w:color="FBF1E6"/>
              <w:bottom w:val="single" w:sz="8"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0.620</w:t>
            </w:r>
          </w:p>
        </w:tc>
      </w:tr>
      <w:tr w:rsidR="00625212" w:rsidRPr="004573B3" w:rsidTr="00625212">
        <w:trPr>
          <w:jc w:val="center"/>
        </w:trPr>
        <w:tc>
          <w:tcPr>
            <w:tcW w:w="2270" w:type="pct"/>
            <w:tcBorders>
              <w:top w:val="single" w:sz="24"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rPr>
                <w:rFonts w:eastAsia="Calibri" w:cstheme="minorHAnsi"/>
                <w:sz w:val="20"/>
                <w:szCs w:val="20"/>
              </w:rPr>
            </w:pPr>
            <w:r w:rsidRPr="004573B3">
              <w:rPr>
                <w:rFonts w:eastAsia="Calibri" w:cstheme="minorHAnsi"/>
                <w:sz w:val="20"/>
                <w:szCs w:val="20"/>
              </w:rPr>
              <w:t>Ketamine</w:t>
            </w:r>
          </w:p>
        </w:tc>
        <w:tc>
          <w:tcPr>
            <w:tcW w:w="910" w:type="pct"/>
            <w:gridSpan w:val="2"/>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2 (1.2)</w:t>
            </w:r>
          </w:p>
        </w:tc>
        <w:tc>
          <w:tcPr>
            <w:tcW w:w="910" w:type="pct"/>
            <w:gridSpan w:val="2"/>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5 (3.1)</w:t>
            </w:r>
          </w:p>
        </w:tc>
        <w:tc>
          <w:tcPr>
            <w:tcW w:w="910" w:type="pct"/>
            <w:gridSpan w:val="2"/>
            <w:tcBorders>
              <w:top w:val="single" w:sz="8" w:space="0" w:color="FBF1E6"/>
              <w:left w:val="single" w:sz="8" w:space="0" w:color="FBF1E6"/>
              <w:bottom w:val="single" w:sz="24" w:space="0" w:color="FBF1E6"/>
              <w:right w:val="single" w:sz="8" w:space="0" w:color="FBF1E6"/>
            </w:tcBorders>
            <w:shd w:val="clear" w:color="auto" w:fill="FBF1E6"/>
            <w:tcMar>
              <w:top w:w="28" w:type="dxa"/>
              <w:left w:w="28" w:type="dxa"/>
              <w:bottom w:w="28" w:type="dxa"/>
              <w:right w:w="28" w:type="dxa"/>
            </w:tcMar>
            <w:vAlign w:val="center"/>
          </w:tcPr>
          <w:p w:rsidR="00625212" w:rsidRPr="004573B3" w:rsidRDefault="00625212" w:rsidP="00A90210">
            <w:pPr>
              <w:widowControl w:val="0"/>
              <w:spacing w:after="0" w:line="240" w:lineRule="auto"/>
              <w:jc w:val="center"/>
              <w:rPr>
                <w:rFonts w:eastAsia="Calibri" w:cstheme="minorHAnsi"/>
                <w:sz w:val="20"/>
                <w:szCs w:val="20"/>
              </w:rPr>
            </w:pPr>
            <w:r w:rsidRPr="004573B3">
              <w:rPr>
                <w:rFonts w:eastAsia="Calibri" w:cstheme="minorHAnsi"/>
                <w:sz w:val="20"/>
                <w:szCs w:val="20"/>
              </w:rPr>
              <w:t>0.448</w:t>
            </w:r>
          </w:p>
        </w:tc>
      </w:tr>
      <w:tr w:rsidR="00625212" w:rsidRPr="004573B3" w:rsidTr="00625212">
        <w:trPr>
          <w:trHeight w:val="177"/>
          <w:jc w:val="center"/>
        </w:trPr>
        <w:tc>
          <w:tcPr>
            <w:tcW w:w="5000" w:type="pct"/>
            <w:gridSpan w:val="7"/>
            <w:tcBorders>
              <w:top w:val="single" w:sz="24" w:space="0" w:color="FBF1E6"/>
              <w:left w:val="single" w:sz="4" w:space="0" w:color="FFFFFF"/>
              <w:bottom w:val="single" w:sz="4" w:space="0" w:color="FFFFFF"/>
              <w:right w:val="single" w:sz="4" w:space="0" w:color="FFFFFF"/>
            </w:tcBorders>
            <w:tcMar>
              <w:left w:w="0" w:type="dxa"/>
              <w:right w:w="0" w:type="dxa"/>
            </w:tcMar>
            <w:vAlign w:val="center"/>
          </w:tcPr>
          <w:p w:rsidR="00625212" w:rsidRPr="004573B3" w:rsidRDefault="00625212" w:rsidP="00A90210">
            <w:pPr>
              <w:spacing w:after="0" w:line="240" w:lineRule="auto"/>
              <w:rPr>
                <w:rFonts w:eastAsia="Calibri" w:cstheme="minorHAnsi"/>
                <w:sz w:val="20"/>
                <w:szCs w:val="20"/>
              </w:rPr>
            </w:pPr>
            <w:r w:rsidRPr="004573B3">
              <w:rPr>
                <w:rFonts w:eastAsia="Calibri" w:cstheme="minorHAnsi"/>
                <w:b/>
                <w:sz w:val="20"/>
                <w:szCs w:val="20"/>
              </w:rPr>
              <w:t>Table 4: Medication use</w:t>
            </w:r>
          </w:p>
        </w:tc>
      </w:tr>
    </w:tbl>
    <w:p w:rsidR="00625212" w:rsidRDefault="00625212" w:rsidP="008A7669">
      <w:pPr>
        <w:spacing w:after="0" w:line="240" w:lineRule="auto"/>
        <w:jc w:val="both"/>
        <w:rPr>
          <w:rFonts w:cstheme="minorHAnsi"/>
        </w:rPr>
        <w:sectPr w:rsidR="00625212" w:rsidSect="00625212">
          <w:type w:val="continuous"/>
          <w:pgSz w:w="12240" w:h="15840"/>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8A7669" w:rsidRPr="008A7669" w:rsidRDefault="008A7669" w:rsidP="008A7669">
      <w:pPr>
        <w:spacing w:after="0" w:line="240" w:lineRule="auto"/>
        <w:jc w:val="both"/>
        <w:rPr>
          <w:rFonts w:cstheme="minorHAnsi"/>
          <w:b/>
          <w:sz w:val="24"/>
        </w:rPr>
      </w:pPr>
      <w:r w:rsidRPr="008A7669">
        <w:rPr>
          <w:rFonts w:cstheme="minorHAnsi"/>
          <w:b/>
          <w:sz w:val="24"/>
        </w:rPr>
        <w:t>Discussion</w:t>
      </w:r>
    </w:p>
    <w:p w:rsidR="008A7669" w:rsidRPr="008A7669" w:rsidRDefault="008A7669" w:rsidP="008A7669">
      <w:pPr>
        <w:spacing w:after="0" w:line="240" w:lineRule="auto"/>
        <w:jc w:val="both"/>
        <w:rPr>
          <w:rFonts w:cstheme="minorHAnsi"/>
        </w:rPr>
      </w:pPr>
      <w:r w:rsidRPr="008A7669">
        <w:rPr>
          <w:rFonts w:cstheme="minorHAnsi"/>
        </w:rPr>
        <w:t xml:space="preserve">The findings of this project indicate that the pharmacist-led continuous sedation stop procedure had limited effects on mechanical ventilation days. Similarly, all-cause mortality, CAM positive days, ICU days, and the number of patients restarted on continuous sedation did not differ significantly between the groups. However, positive outcomes were observed in terms of achieving a desired RASS score off continuous sedation, reduced continuous </w:t>
      </w:r>
      <w:r w:rsidRPr="008A7669">
        <w:rPr>
          <w:rFonts w:cstheme="minorHAnsi"/>
        </w:rPr>
        <w:t>sedation days, and decreased total sedation hours. These results suggest that a procedure emphasizing the use of spontaneous awakening trials (SATs) may have beneficial effects on sedation medication use. Interestingly, a decrease in the use of propofol was incidentally discovered following the initiation of the stop procedure. However, it is important to note that sedation selections are based on provider preference rather than being procedure-driven, which could have influenced this finding.</w:t>
      </w:r>
    </w:p>
    <w:p w:rsidR="008A7669" w:rsidRPr="008A7669" w:rsidRDefault="008A7669" w:rsidP="00625212">
      <w:pPr>
        <w:spacing w:after="0" w:line="240" w:lineRule="auto"/>
        <w:ind w:firstLine="720"/>
        <w:jc w:val="both"/>
        <w:rPr>
          <w:rFonts w:cstheme="minorHAnsi"/>
        </w:rPr>
      </w:pPr>
      <w:r w:rsidRPr="008A7669">
        <w:rPr>
          <w:rFonts w:cstheme="minorHAnsi"/>
        </w:rPr>
        <w:lastRenderedPageBreak/>
        <w:t>One notable difference in baseline characteristics was the incidence of COVID-19. Although this was an expected difference between the two study groups, it is believe that patients identified with COVID-19 did not significantly contribute to the differences in mechanical ventilation days due to the defined exclusion criteria.</w:t>
      </w:r>
    </w:p>
    <w:p w:rsidR="008A7669" w:rsidRPr="008A7669" w:rsidRDefault="008A7669" w:rsidP="008A7669">
      <w:pPr>
        <w:spacing w:after="0" w:line="240" w:lineRule="auto"/>
        <w:jc w:val="both"/>
        <w:rPr>
          <w:rFonts w:cstheme="minorHAnsi"/>
        </w:rPr>
      </w:pPr>
      <w:r w:rsidRPr="008A7669">
        <w:rPr>
          <w:rFonts w:cstheme="minorHAnsi"/>
        </w:rPr>
        <w:tab/>
        <w:t xml:space="preserve">It is crucial to acknowledge the limitations of this study. Firstly, the desired statistical power could not be achieved after screening for exclusion criteria, which restricts the ability to draw definitive conclusions regarding the significant impact of the procedure on mechanical ventilation duration in critically ill patients. Secondly, the results hindered on the accuracy and consistency of start times for sedation and mechanical ventilation were dependent on the documentation entered by the nursing staff. Thirdly, data on total amounts of each medication was not collected, which may have been a miss opportunity to further assess the impact of this pharmacist-led procedure. Finally, documentation of SATs was inconsistent between the two study groups, which might have affected the interpretation of our findings. Before the initiation of the procedure, there was no standardized SAT time, and documentation of SATs was not consistently performed. </w:t>
      </w:r>
    </w:p>
    <w:p w:rsidR="008A7669" w:rsidRPr="008A7669" w:rsidRDefault="008A7669" w:rsidP="00625212">
      <w:pPr>
        <w:spacing w:after="0" w:line="240" w:lineRule="auto"/>
        <w:ind w:firstLine="720"/>
        <w:jc w:val="both"/>
        <w:rPr>
          <w:rFonts w:cstheme="minorHAnsi"/>
        </w:rPr>
      </w:pPr>
      <w:r w:rsidRPr="008A7669">
        <w:rPr>
          <w:rFonts w:cstheme="minorHAnsi"/>
        </w:rPr>
        <w:t>In conclusion, this study provides insights into the effects of a continuous sedation stop procedure on various outcomes in critically ill patients receiving mechanical ventilation. While there was no significant difference observed in mechanical ventilation days or other major outcomes, positive outcomes were evident in terms of achieving desired RASS scores off continuous sedation and reducing sedation medication use. Further studies with larger sample sizes are warranted to validate these findings and overcome the limitations identified in this study.</w:t>
      </w:r>
    </w:p>
    <w:p w:rsidR="008A7669" w:rsidRPr="008A7669" w:rsidRDefault="008A7669" w:rsidP="008A7669">
      <w:pPr>
        <w:spacing w:after="0" w:line="240" w:lineRule="auto"/>
        <w:jc w:val="both"/>
        <w:rPr>
          <w:rFonts w:cstheme="minorHAnsi"/>
        </w:rPr>
      </w:pPr>
    </w:p>
    <w:p w:rsidR="008A7669" w:rsidRPr="008A7669" w:rsidRDefault="008A7669" w:rsidP="008A7669">
      <w:pPr>
        <w:spacing w:after="0" w:line="240" w:lineRule="auto"/>
        <w:jc w:val="both"/>
        <w:rPr>
          <w:rFonts w:cstheme="minorHAnsi"/>
          <w:b/>
          <w:sz w:val="24"/>
        </w:rPr>
      </w:pPr>
      <w:r w:rsidRPr="008A7669">
        <w:rPr>
          <w:rFonts w:cstheme="minorHAnsi"/>
          <w:b/>
          <w:sz w:val="24"/>
        </w:rPr>
        <w:t>Conflicts of Interest</w:t>
      </w:r>
    </w:p>
    <w:p w:rsidR="008A7669" w:rsidRPr="008A7669" w:rsidRDefault="008A7669" w:rsidP="008A7669">
      <w:pPr>
        <w:spacing w:after="0" w:line="240" w:lineRule="auto"/>
        <w:jc w:val="both"/>
        <w:rPr>
          <w:rFonts w:cstheme="minorHAnsi"/>
        </w:rPr>
      </w:pPr>
      <w:r w:rsidRPr="008A7669">
        <w:rPr>
          <w:rFonts w:cstheme="minorHAnsi"/>
        </w:rPr>
        <w:t>The author has no conflicts of interest to declare.</w:t>
      </w:r>
    </w:p>
    <w:p w:rsidR="008A7669" w:rsidRPr="008A7669" w:rsidRDefault="008A7669" w:rsidP="008A7669">
      <w:pPr>
        <w:spacing w:after="0" w:line="240" w:lineRule="auto"/>
        <w:jc w:val="both"/>
        <w:rPr>
          <w:rFonts w:cstheme="minorHAnsi"/>
        </w:rPr>
      </w:pPr>
    </w:p>
    <w:p w:rsidR="008A7669" w:rsidRPr="008A7669" w:rsidRDefault="008A7669" w:rsidP="008A7669">
      <w:pPr>
        <w:spacing w:after="0" w:line="240" w:lineRule="auto"/>
        <w:jc w:val="both"/>
        <w:rPr>
          <w:rFonts w:cstheme="minorHAnsi"/>
          <w:b/>
          <w:sz w:val="24"/>
        </w:rPr>
      </w:pPr>
      <w:r w:rsidRPr="008A7669">
        <w:rPr>
          <w:rFonts w:cstheme="minorHAnsi"/>
          <w:b/>
          <w:sz w:val="24"/>
        </w:rPr>
        <w:t>Acknowledgements</w:t>
      </w:r>
    </w:p>
    <w:p w:rsidR="008A7669" w:rsidRPr="008A7669" w:rsidRDefault="008A7669" w:rsidP="008A7669">
      <w:pPr>
        <w:spacing w:after="0" w:line="240" w:lineRule="auto"/>
        <w:jc w:val="both"/>
        <w:rPr>
          <w:rFonts w:cstheme="minorHAnsi"/>
        </w:rPr>
      </w:pPr>
      <w:r w:rsidRPr="008A7669">
        <w:rPr>
          <w:rFonts w:cstheme="minorHAnsi"/>
        </w:rPr>
        <w:t xml:space="preserve">I would like to express my gratitude to my research preceptors whose support and guidance have been instrumental in bringing this work to fruition. Their expert advice has propelled me through every stage </w:t>
      </w:r>
      <w:r w:rsidRPr="008A7669">
        <w:rPr>
          <w:rFonts w:cstheme="minorHAnsi"/>
        </w:rPr>
        <w:t>of this project, shaping my understanding and refining the outcomes. Their commitment and mentorship have truly made this endeavor possible, and for that, I am truly grateful.</w:t>
      </w:r>
    </w:p>
    <w:p w:rsidR="00625212" w:rsidRDefault="00625212" w:rsidP="008A7669">
      <w:pPr>
        <w:spacing w:after="0" w:line="240" w:lineRule="auto"/>
        <w:jc w:val="both"/>
        <w:rPr>
          <w:rFonts w:cstheme="minorHAnsi"/>
        </w:rPr>
      </w:pPr>
    </w:p>
    <w:p w:rsidR="008A7669" w:rsidRPr="008A7669" w:rsidRDefault="008A7669" w:rsidP="008A7669">
      <w:pPr>
        <w:spacing w:after="0" w:line="240" w:lineRule="auto"/>
        <w:jc w:val="both"/>
        <w:rPr>
          <w:rFonts w:cstheme="minorHAnsi"/>
          <w:b/>
          <w:sz w:val="24"/>
        </w:rPr>
      </w:pPr>
      <w:r w:rsidRPr="008A7669">
        <w:rPr>
          <w:rFonts w:cstheme="minorHAnsi"/>
          <w:b/>
          <w:sz w:val="24"/>
        </w:rPr>
        <w:t>References</w:t>
      </w:r>
    </w:p>
    <w:p w:rsidR="008A7669" w:rsidRPr="008A7669" w:rsidRDefault="008A7669" w:rsidP="008A7669">
      <w:pPr>
        <w:pStyle w:val="ListParagraph"/>
        <w:numPr>
          <w:ilvl w:val="0"/>
          <w:numId w:val="1"/>
        </w:numPr>
        <w:spacing w:after="0" w:line="240" w:lineRule="auto"/>
        <w:jc w:val="both"/>
        <w:rPr>
          <w:rFonts w:cstheme="minorHAnsi"/>
        </w:rPr>
      </w:pPr>
      <w:r w:rsidRPr="008A7669">
        <w:rPr>
          <w:rFonts w:cstheme="minorHAnsi"/>
          <w:color w:val="212121"/>
          <w:shd w:val="clear" w:color="auto" w:fill="FFFFFF"/>
        </w:rPr>
        <w:t>Devlin JW, Skrobik Y, Gélinas C, et al. Clinical Practice Guidelines for the Prevention and Management of Pain, Agitation/Sedation, Delirium, Immobility, and Sleep Disruption in Adult Patients in the ICU. </w:t>
      </w:r>
      <w:r w:rsidRPr="008A7669">
        <w:rPr>
          <w:rFonts w:cstheme="minorHAnsi"/>
          <w:i/>
          <w:iCs/>
          <w:color w:val="212121"/>
          <w:shd w:val="clear" w:color="auto" w:fill="FFFFFF"/>
        </w:rPr>
        <w:t>Crit Care Med</w:t>
      </w:r>
      <w:r w:rsidRPr="008A7669">
        <w:rPr>
          <w:rFonts w:cstheme="minorHAnsi"/>
          <w:color w:val="212121"/>
          <w:shd w:val="clear" w:color="auto" w:fill="FFFFFF"/>
        </w:rPr>
        <w:t>. 2018;46(9):e825-e873. doi:10.1097/CCM.0000000000003299</w:t>
      </w:r>
    </w:p>
    <w:p w:rsidR="008A7669" w:rsidRPr="008A7669" w:rsidRDefault="008A7669" w:rsidP="008A7669">
      <w:pPr>
        <w:pStyle w:val="ListParagraph"/>
        <w:numPr>
          <w:ilvl w:val="0"/>
          <w:numId w:val="1"/>
        </w:numPr>
        <w:spacing w:after="0" w:line="240" w:lineRule="auto"/>
        <w:jc w:val="both"/>
        <w:rPr>
          <w:rFonts w:cstheme="minorHAnsi"/>
        </w:rPr>
      </w:pPr>
      <w:r w:rsidRPr="008A7669">
        <w:rPr>
          <w:rFonts w:cstheme="minorHAnsi"/>
          <w:color w:val="212121"/>
          <w:shd w:val="clear" w:color="auto" w:fill="FFFFFF"/>
        </w:rPr>
        <w:t>Kollef MH, Levy NT, Ahrens TS, Schaiff R, Prentice D, Sherman G. The use of continuous i.v. sedation is associated with prolongation of mechanical ventilation. </w:t>
      </w:r>
      <w:r w:rsidRPr="008A7669">
        <w:rPr>
          <w:rFonts w:cstheme="minorHAnsi"/>
          <w:i/>
          <w:iCs/>
          <w:color w:val="212121"/>
          <w:shd w:val="clear" w:color="auto" w:fill="FFFFFF"/>
        </w:rPr>
        <w:t>Chest</w:t>
      </w:r>
      <w:r w:rsidRPr="008A7669">
        <w:rPr>
          <w:rFonts w:cstheme="minorHAnsi"/>
          <w:color w:val="212121"/>
          <w:shd w:val="clear" w:color="auto" w:fill="FFFFFF"/>
        </w:rPr>
        <w:t>. 1998;114(2):541-548. doi:10.1378/chest.114.2.541</w:t>
      </w:r>
    </w:p>
    <w:p w:rsidR="008A7669" w:rsidRPr="008A7669" w:rsidRDefault="008A7669" w:rsidP="008A7669">
      <w:pPr>
        <w:pStyle w:val="ListParagraph"/>
        <w:numPr>
          <w:ilvl w:val="0"/>
          <w:numId w:val="1"/>
        </w:numPr>
        <w:spacing w:after="0" w:line="240" w:lineRule="auto"/>
        <w:jc w:val="both"/>
        <w:rPr>
          <w:rFonts w:cstheme="minorHAnsi"/>
        </w:rPr>
      </w:pPr>
      <w:r w:rsidRPr="008A7669">
        <w:rPr>
          <w:rFonts w:cstheme="minorHAnsi"/>
          <w:color w:val="212121"/>
          <w:shd w:val="clear" w:color="auto" w:fill="FFFFFF"/>
        </w:rPr>
        <w:t>Brook AD, Ahrens TS, Schaiff R, et al. Effect of a nursing-implemented sedation protocol on the duration of mechanical ventilation. </w:t>
      </w:r>
      <w:r w:rsidRPr="008A7669">
        <w:rPr>
          <w:rFonts w:cstheme="minorHAnsi"/>
          <w:i/>
          <w:iCs/>
          <w:color w:val="212121"/>
          <w:shd w:val="clear" w:color="auto" w:fill="FFFFFF"/>
        </w:rPr>
        <w:t>Crit Care Med</w:t>
      </w:r>
      <w:r w:rsidRPr="008A7669">
        <w:rPr>
          <w:rFonts w:cstheme="minorHAnsi"/>
          <w:color w:val="212121"/>
          <w:shd w:val="clear" w:color="auto" w:fill="FFFFFF"/>
        </w:rPr>
        <w:t>. 1999;27(12):2609-2615. doi:10.1097/00003246-199912000-00001</w:t>
      </w:r>
    </w:p>
    <w:p w:rsidR="008A7669" w:rsidRPr="008A7669" w:rsidRDefault="008A7669" w:rsidP="008A7669">
      <w:pPr>
        <w:pStyle w:val="ListParagraph"/>
        <w:numPr>
          <w:ilvl w:val="0"/>
          <w:numId w:val="1"/>
        </w:numPr>
        <w:spacing w:after="0" w:line="240" w:lineRule="auto"/>
        <w:jc w:val="both"/>
        <w:rPr>
          <w:rFonts w:cstheme="minorHAnsi"/>
        </w:rPr>
      </w:pPr>
      <w:r w:rsidRPr="008A7669">
        <w:rPr>
          <w:rFonts w:cstheme="minorHAnsi"/>
          <w:color w:val="212121"/>
          <w:shd w:val="clear" w:color="auto" w:fill="FFFFFF"/>
        </w:rPr>
        <w:t>Strøm T, Martinussen T, Toft P. A protocol of no sedation for critically ill patients receiving mechanical ventilation: a randomised trial. </w:t>
      </w:r>
      <w:r w:rsidRPr="008A7669">
        <w:rPr>
          <w:rFonts w:cstheme="minorHAnsi"/>
          <w:i/>
          <w:iCs/>
          <w:color w:val="212121"/>
          <w:shd w:val="clear" w:color="auto" w:fill="FFFFFF"/>
        </w:rPr>
        <w:t>Lancet</w:t>
      </w:r>
      <w:r w:rsidRPr="008A7669">
        <w:rPr>
          <w:rFonts w:cstheme="minorHAnsi"/>
          <w:color w:val="212121"/>
          <w:shd w:val="clear" w:color="auto" w:fill="FFFFFF"/>
        </w:rPr>
        <w:t>. 2010;375(9713):475-480. doi:10.1016/S0140-6736(09)62072-9</w:t>
      </w:r>
    </w:p>
    <w:p w:rsidR="008A7669" w:rsidRPr="008A7669" w:rsidRDefault="008A7669" w:rsidP="008A7669">
      <w:pPr>
        <w:pStyle w:val="ListParagraph"/>
        <w:numPr>
          <w:ilvl w:val="0"/>
          <w:numId w:val="1"/>
        </w:numPr>
        <w:spacing w:after="0" w:line="240" w:lineRule="auto"/>
        <w:jc w:val="both"/>
        <w:rPr>
          <w:rFonts w:cstheme="minorHAnsi"/>
        </w:rPr>
      </w:pPr>
      <w:r w:rsidRPr="008A7669">
        <w:rPr>
          <w:rFonts w:cstheme="minorHAnsi"/>
          <w:color w:val="212121"/>
          <w:shd w:val="clear" w:color="auto" w:fill="FFFFFF"/>
        </w:rPr>
        <w:t>Olsen HT, Nedergaard HK, Strøm T, et al. Nonsedation or Light Sedation in Critically Ill, Mechanically Ventilated Patients. </w:t>
      </w:r>
      <w:r w:rsidRPr="008A7669">
        <w:rPr>
          <w:rFonts w:cstheme="minorHAnsi"/>
          <w:i/>
          <w:iCs/>
          <w:color w:val="212121"/>
          <w:shd w:val="clear" w:color="auto" w:fill="FFFFFF"/>
        </w:rPr>
        <w:t>N Engl J Med</w:t>
      </w:r>
      <w:r w:rsidRPr="008A7669">
        <w:rPr>
          <w:rFonts w:cstheme="minorHAnsi"/>
          <w:color w:val="212121"/>
          <w:shd w:val="clear" w:color="auto" w:fill="FFFFFF"/>
        </w:rPr>
        <w:t>. 2020;382(12):1103-1111. doi:10.1056/NEJMoa1906759</w:t>
      </w:r>
    </w:p>
    <w:sectPr w:rsidR="008A7669" w:rsidRPr="008A7669" w:rsidSect="008A7669">
      <w:type w:val="continuous"/>
      <w:pgSz w:w="12240" w:h="15840"/>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B7" w:rsidRDefault="006941B7" w:rsidP="009C065C">
      <w:pPr>
        <w:spacing w:after="0" w:line="240" w:lineRule="auto"/>
      </w:pPr>
      <w:r>
        <w:separator/>
      </w:r>
    </w:p>
  </w:endnote>
  <w:endnote w:type="continuationSeparator" w:id="0">
    <w:p w:rsidR="006941B7" w:rsidRDefault="006941B7" w:rsidP="009C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B9BD5" w:themeColor="accent1"/>
      </w:rPr>
      <w:id w:val="-2093535616"/>
      <w:docPartObj>
        <w:docPartGallery w:val="Page Numbers (Bottom of Page)"/>
        <w:docPartUnique/>
      </w:docPartObj>
    </w:sdtPr>
    <w:sdtEndPr>
      <w:rPr>
        <w:spacing w:val="60"/>
        <w:sz w:val="16"/>
        <w:szCs w:val="16"/>
      </w:rPr>
    </w:sdtEndPr>
    <w:sdtContent>
      <w:p w:rsidR="009C065C" w:rsidRPr="009C065C" w:rsidRDefault="009C065C">
        <w:pPr>
          <w:pStyle w:val="Footer"/>
          <w:pBdr>
            <w:top w:val="single" w:sz="4" w:space="1" w:color="D9D9D9" w:themeColor="background1" w:themeShade="D9"/>
          </w:pBdr>
          <w:jc w:val="right"/>
          <w:rPr>
            <w:color w:val="5B9BD5" w:themeColor="accent1"/>
            <w:sz w:val="16"/>
            <w:szCs w:val="16"/>
          </w:rPr>
        </w:pPr>
        <w:r w:rsidRPr="009C065C">
          <w:rPr>
            <w:color w:val="5B9BD5" w:themeColor="accent1"/>
            <w:sz w:val="16"/>
            <w:szCs w:val="16"/>
          </w:rPr>
          <w:fldChar w:fldCharType="begin"/>
        </w:r>
        <w:r w:rsidRPr="009C065C">
          <w:rPr>
            <w:color w:val="5B9BD5" w:themeColor="accent1"/>
            <w:sz w:val="16"/>
            <w:szCs w:val="16"/>
          </w:rPr>
          <w:instrText xml:space="preserve"> PAGE   \* MERGEFORMAT </w:instrText>
        </w:r>
        <w:r w:rsidRPr="009C065C">
          <w:rPr>
            <w:color w:val="5B9BD5" w:themeColor="accent1"/>
            <w:sz w:val="16"/>
            <w:szCs w:val="16"/>
          </w:rPr>
          <w:fldChar w:fldCharType="separate"/>
        </w:r>
        <w:r w:rsidR="00625212">
          <w:rPr>
            <w:noProof/>
            <w:color w:val="5B9BD5" w:themeColor="accent1"/>
            <w:sz w:val="16"/>
            <w:szCs w:val="16"/>
          </w:rPr>
          <w:t>5</w:t>
        </w:r>
        <w:r w:rsidRPr="009C065C">
          <w:rPr>
            <w:noProof/>
            <w:color w:val="5B9BD5" w:themeColor="accent1"/>
            <w:sz w:val="16"/>
            <w:szCs w:val="16"/>
          </w:rPr>
          <w:fldChar w:fldCharType="end"/>
        </w:r>
        <w:r w:rsidRPr="009C065C">
          <w:rPr>
            <w:color w:val="5B9BD5" w:themeColor="accent1"/>
            <w:sz w:val="16"/>
            <w:szCs w:val="16"/>
          </w:rPr>
          <w:t xml:space="preserve"> | </w:t>
        </w:r>
        <w:r w:rsidRPr="009C065C">
          <w:rPr>
            <w:color w:val="5B9BD5" w:themeColor="accent1"/>
            <w:spacing w:val="60"/>
            <w:sz w:val="16"/>
            <w:szCs w:val="16"/>
          </w:rPr>
          <w:t>Page</w:t>
        </w:r>
      </w:p>
    </w:sdtContent>
  </w:sdt>
  <w:p w:rsidR="009C065C" w:rsidRDefault="009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B7" w:rsidRDefault="006941B7" w:rsidP="009C065C">
      <w:pPr>
        <w:spacing w:after="0" w:line="240" w:lineRule="auto"/>
      </w:pPr>
      <w:r>
        <w:separator/>
      </w:r>
    </w:p>
  </w:footnote>
  <w:footnote w:type="continuationSeparator" w:id="0">
    <w:p w:rsidR="006941B7" w:rsidRDefault="006941B7" w:rsidP="009C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5C" w:rsidRPr="009C065C" w:rsidRDefault="009C065C">
    <w:pPr>
      <w:pStyle w:val="Header"/>
      <w:tabs>
        <w:tab w:val="clear" w:pos="4680"/>
        <w:tab w:val="clear" w:pos="9360"/>
      </w:tabs>
      <w:jc w:val="right"/>
      <w:rPr>
        <w:color w:val="5B9BD5" w:themeColor="accent1"/>
        <w:sz w:val="16"/>
        <w:szCs w:val="16"/>
      </w:rPr>
    </w:pPr>
    <w:sdt>
      <w:sdtPr>
        <w:rPr>
          <w:color w:val="5B9BD5" w:themeColor="accent1"/>
          <w:sz w:val="16"/>
          <w:szCs w:val="16"/>
        </w:rPr>
        <w:alias w:val="Title"/>
        <w:tag w:val=""/>
        <w:id w:val="664756013"/>
        <w:placeholder>
          <w:docPart w:val="6AD6FA7794F24E969D2C1384C4778013"/>
        </w:placeholder>
        <w:dataBinding w:prefixMappings="xmlns:ns0='http://purl.org/dc/elements/1.1/' xmlns:ns1='http://schemas.openxmlformats.org/package/2006/metadata/core-properties' " w:xpath="/ns1:coreProperties[1]/ns0:title[1]" w:storeItemID="{6C3C8BC8-F283-45AE-878A-BAB7291924A1}"/>
        <w:text/>
      </w:sdtPr>
      <w:sdtContent>
        <w:r w:rsidRPr="009C065C">
          <w:rPr>
            <w:color w:val="5B9BD5" w:themeColor="accent1"/>
            <w:sz w:val="16"/>
            <w:szCs w:val="16"/>
          </w:rPr>
          <w:t>PHARMACY-LED CONTINUOUS SEDATION STOP PROCEDURE AFFECT ON VENTILATION DAYS</w:t>
        </w:r>
      </w:sdtContent>
    </w:sdt>
    <w:r w:rsidRPr="009C065C">
      <w:rPr>
        <w:color w:val="5B9BD5" w:themeColor="accent1"/>
        <w:sz w:val="16"/>
        <w:szCs w:val="16"/>
      </w:rPr>
      <w:t xml:space="preserve"> | </w:t>
    </w:r>
    <w:sdt>
      <w:sdtPr>
        <w:rPr>
          <w:color w:val="5B9BD5" w:themeColor="accent1"/>
          <w:sz w:val="16"/>
          <w:szCs w:val="16"/>
        </w:rPr>
        <w:alias w:val="Author"/>
        <w:tag w:val=""/>
        <w:id w:val="-1677181147"/>
        <w:placeholder>
          <w:docPart w:val="1B7C6D29BC8F48C79FC3A4BF2DFA9B86"/>
        </w:placeholder>
        <w:dataBinding w:prefixMappings="xmlns:ns0='http://purl.org/dc/elements/1.1/' xmlns:ns1='http://schemas.openxmlformats.org/package/2006/metadata/core-properties' " w:xpath="/ns1:coreProperties[1]/ns0:creator[1]" w:storeItemID="{6C3C8BC8-F283-45AE-878A-BAB7291924A1}"/>
        <w:text/>
      </w:sdtPr>
      <w:sdtContent>
        <w:r w:rsidRPr="009C065C">
          <w:rPr>
            <w:color w:val="5B9BD5" w:themeColor="accent1"/>
            <w:sz w:val="16"/>
            <w:szCs w:val="16"/>
          </w:rPr>
          <w:t>Steven Burgos, PharmD</w:t>
        </w:r>
      </w:sdtContent>
    </w:sdt>
  </w:p>
  <w:p w:rsidR="009C065C" w:rsidRDefault="009C0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96E"/>
    <w:multiLevelType w:val="hybridMultilevel"/>
    <w:tmpl w:val="0804D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5C"/>
    <w:rsid w:val="00625212"/>
    <w:rsid w:val="006941B7"/>
    <w:rsid w:val="008A7669"/>
    <w:rsid w:val="009C065C"/>
    <w:rsid w:val="00CF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8A8CF"/>
  <w15:chartTrackingRefBased/>
  <w15:docId w15:val="{845EDE6C-9E2A-4247-AE15-E362799E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65C"/>
  </w:style>
  <w:style w:type="paragraph" w:styleId="Footer">
    <w:name w:val="footer"/>
    <w:basedOn w:val="Normal"/>
    <w:link w:val="FooterChar"/>
    <w:uiPriority w:val="99"/>
    <w:unhideWhenUsed/>
    <w:rsid w:val="009C0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65C"/>
  </w:style>
  <w:style w:type="paragraph" w:styleId="ListParagraph">
    <w:name w:val="List Paragraph"/>
    <w:basedOn w:val="Normal"/>
    <w:uiPriority w:val="34"/>
    <w:qFormat/>
    <w:rsid w:val="008A7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Hackman@CommonSpirit.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aren.Holmes@CommonSpirit.org" TargetMode="External"/><Relationship Id="rId4" Type="http://schemas.openxmlformats.org/officeDocument/2006/relationships/settings" Target="settings.xml"/><Relationship Id="rId9" Type="http://schemas.openxmlformats.org/officeDocument/2006/relationships/hyperlink" Target="mailto:Steven.Burgos@CommonSpirit.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D6FA7794F24E969D2C1384C4778013"/>
        <w:category>
          <w:name w:val="General"/>
          <w:gallery w:val="placeholder"/>
        </w:category>
        <w:types>
          <w:type w:val="bbPlcHdr"/>
        </w:types>
        <w:behaviors>
          <w:behavior w:val="content"/>
        </w:behaviors>
        <w:guid w:val="{1085D1B5-D2AE-4BD7-BE52-4E8331E4976E}"/>
      </w:docPartPr>
      <w:docPartBody>
        <w:p w:rsidR="00000000" w:rsidRDefault="003A0E62" w:rsidP="003A0E62">
          <w:pPr>
            <w:pStyle w:val="6AD6FA7794F24E969D2C1384C4778013"/>
          </w:pPr>
          <w:r>
            <w:rPr>
              <w:color w:val="5B9BD5" w:themeColor="accent1"/>
            </w:rPr>
            <w:t>[Document title]</w:t>
          </w:r>
        </w:p>
      </w:docPartBody>
    </w:docPart>
    <w:docPart>
      <w:docPartPr>
        <w:name w:val="1B7C6D29BC8F48C79FC3A4BF2DFA9B86"/>
        <w:category>
          <w:name w:val="General"/>
          <w:gallery w:val="placeholder"/>
        </w:category>
        <w:types>
          <w:type w:val="bbPlcHdr"/>
        </w:types>
        <w:behaviors>
          <w:behavior w:val="content"/>
        </w:behaviors>
        <w:guid w:val="{085196A1-EC44-45A8-862C-5CB2DB5B2CBE}"/>
      </w:docPartPr>
      <w:docPartBody>
        <w:p w:rsidR="00000000" w:rsidRDefault="003A0E62" w:rsidP="003A0E62">
          <w:pPr>
            <w:pStyle w:val="1B7C6D29BC8F48C79FC3A4BF2DFA9B86"/>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62"/>
    <w:rsid w:val="002C088B"/>
    <w:rsid w:val="003A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D6FA7794F24E969D2C1384C4778013">
    <w:name w:val="6AD6FA7794F24E969D2C1384C4778013"/>
    <w:rsid w:val="003A0E62"/>
  </w:style>
  <w:style w:type="paragraph" w:customStyle="1" w:styleId="1B7C6D29BC8F48C79FC3A4BF2DFA9B86">
    <w:name w:val="1B7C6D29BC8F48C79FC3A4BF2DFA9B86"/>
    <w:rsid w:val="003A0E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7764-FF3E-45DD-99EC-5E3C63E1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PHARMACY-LED CONTINUOUS SEDATION STOP PROCEDURE AFFECT ON VENTILATION DAYS</dc:title>
  <dc:subject/>
  <dc:creator>Steven Burgos, PharmD</dc:creator>
  <cp:keywords/>
  <dc:description/>
  <cp:lastModifiedBy>Burgos, Steven - SRDH</cp:lastModifiedBy>
  <cp:revision>1</cp:revision>
  <dcterms:created xsi:type="dcterms:W3CDTF">2023-06-25T20:06:00Z</dcterms:created>
  <dcterms:modified xsi:type="dcterms:W3CDTF">2023-06-25T20:34:00Z</dcterms:modified>
</cp:coreProperties>
</file>