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DE71" w14:textId="77777777" w:rsidR="00DF311C" w:rsidRPr="00CD7D74" w:rsidRDefault="00DF311C" w:rsidP="00DF311C">
      <w:pPr>
        <w:pStyle w:val="IOPTitle"/>
        <w:spacing w:after="360"/>
        <w:rPr>
          <w:rFonts w:ascii="Times New Roman" w:hAnsi="Times New Roman"/>
        </w:rPr>
      </w:pPr>
      <w:r w:rsidRPr="00CD7D74">
        <w:rPr>
          <w:rStyle w:val="IOPTitleChar"/>
          <w:rFonts w:ascii="Times New Roman" w:hAnsi="Times New Roman"/>
          <w:b/>
        </w:rPr>
        <w:t>Implementation of Pharmacist Counseling for Inpatient Chemotherapies</w:t>
      </w:r>
    </w:p>
    <w:p w14:paraId="68B4CBC0" w14:textId="77777777" w:rsidR="00DF311C" w:rsidRPr="00CD7D74" w:rsidRDefault="00DF311C" w:rsidP="00DF311C">
      <w:pPr>
        <w:pStyle w:val="IOPAuthor"/>
        <w:spacing w:after="0"/>
        <w:rPr>
          <w:rFonts w:ascii="Times New Roman" w:hAnsi="Times New Roman"/>
          <w:sz w:val="32"/>
          <w:szCs w:val="24"/>
          <w:vertAlign w:val="superscript"/>
        </w:rPr>
      </w:pPr>
      <w:r w:rsidRPr="00CD7D74">
        <w:rPr>
          <w:rFonts w:ascii="Times New Roman" w:hAnsi="Times New Roman"/>
          <w:sz w:val="32"/>
          <w:szCs w:val="24"/>
        </w:rPr>
        <w:t xml:space="preserve">Amanda Jeppesen, PharmD </w:t>
      </w:r>
    </w:p>
    <w:p w14:paraId="7AF97A3C" w14:textId="77777777" w:rsidR="00DF311C" w:rsidRPr="00CD7D74" w:rsidRDefault="00DF311C" w:rsidP="00DF311C">
      <w:pPr>
        <w:pStyle w:val="IOPAff"/>
        <w:rPr>
          <w:sz w:val="32"/>
          <w:szCs w:val="24"/>
        </w:rPr>
      </w:pPr>
      <w:r w:rsidRPr="00CD7D74">
        <w:rPr>
          <w:sz w:val="32"/>
          <w:szCs w:val="24"/>
        </w:rPr>
        <w:t>Renown Regional Medical Center, Reno, Nevada</w:t>
      </w:r>
    </w:p>
    <w:p w14:paraId="4FD348CE" w14:textId="77777777" w:rsidR="00DF311C" w:rsidRPr="00CD7D74" w:rsidRDefault="00DF311C" w:rsidP="00DF311C">
      <w:pPr>
        <w:pStyle w:val="IOPAff"/>
        <w:rPr>
          <w:sz w:val="20"/>
          <w:szCs w:val="24"/>
        </w:rPr>
      </w:pPr>
    </w:p>
    <w:p w14:paraId="779CEE29" w14:textId="77777777" w:rsidR="00DF311C" w:rsidRPr="00CD7D74" w:rsidRDefault="00DF311C" w:rsidP="00DF311C">
      <w:pPr>
        <w:pStyle w:val="IOPAff"/>
        <w:rPr>
          <w:b/>
          <w:sz w:val="20"/>
          <w:szCs w:val="24"/>
        </w:rPr>
      </w:pPr>
      <w:r w:rsidRPr="00CD7D74">
        <w:rPr>
          <w:b/>
          <w:sz w:val="20"/>
          <w:szCs w:val="24"/>
        </w:rPr>
        <w:t>Lauren Zion, PharmD, BCOP</w:t>
      </w:r>
    </w:p>
    <w:p w14:paraId="5A69873D" w14:textId="77777777" w:rsidR="00DF311C" w:rsidRPr="00CD7D74" w:rsidRDefault="00DF311C" w:rsidP="00DF311C">
      <w:pPr>
        <w:pStyle w:val="IOPAff"/>
        <w:rPr>
          <w:sz w:val="20"/>
          <w:szCs w:val="24"/>
        </w:rPr>
      </w:pPr>
      <w:r w:rsidRPr="00CD7D74">
        <w:rPr>
          <w:sz w:val="20"/>
          <w:szCs w:val="24"/>
        </w:rPr>
        <w:t>Renown Regional Medical Center, Reno, Nevada</w:t>
      </w:r>
    </w:p>
    <w:p w14:paraId="1D76222D" w14:textId="77777777" w:rsidR="00DF311C" w:rsidRPr="00CD7D74" w:rsidRDefault="00DF311C" w:rsidP="00DF311C">
      <w:pPr>
        <w:pStyle w:val="IOPAff"/>
        <w:rPr>
          <w:sz w:val="20"/>
          <w:szCs w:val="24"/>
        </w:rPr>
      </w:pPr>
    </w:p>
    <w:p w14:paraId="5809EB38" w14:textId="77777777" w:rsidR="00DF311C" w:rsidRPr="00CD7D74" w:rsidRDefault="00DF311C" w:rsidP="00DF311C">
      <w:pPr>
        <w:pStyle w:val="IOPAff"/>
        <w:rPr>
          <w:b/>
          <w:sz w:val="20"/>
          <w:szCs w:val="24"/>
        </w:rPr>
      </w:pPr>
      <w:r w:rsidRPr="00CD7D74">
        <w:rPr>
          <w:b/>
          <w:sz w:val="20"/>
          <w:szCs w:val="24"/>
        </w:rPr>
        <w:t>Michelle Barcelon, PharmD, BCPS, BCCP</w:t>
      </w:r>
    </w:p>
    <w:p w14:paraId="0F919924" w14:textId="77777777" w:rsidR="00DF311C" w:rsidRPr="00CD7D74" w:rsidRDefault="00DF311C" w:rsidP="00DF311C">
      <w:pPr>
        <w:pStyle w:val="IOPAff"/>
        <w:rPr>
          <w:sz w:val="20"/>
          <w:szCs w:val="24"/>
        </w:rPr>
      </w:pPr>
      <w:r w:rsidRPr="00CD7D74">
        <w:rPr>
          <w:sz w:val="20"/>
          <w:szCs w:val="24"/>
        </w:rPr>
        <w:t>Renown Regional Medical Center, Reno, Nevada</w:t>
      </w:r>
    </w:p>
    <w:p w14:paraId="5FACACBA" w14:textId="77777777" w:rsidR="00DF311C" w:rsidRPr="00CD7D74" w:rsidRDefault="00DF311C" w:rsidP="00DF311C">
      <w:pPr>
        <w:pStyle w:val="IOPAff"/>
        <w:rPr>
          <w:sz w:val="20"/>
          <w:szCs w:val="24"/>
        </w:rPr>
      </w:pPr>
    </w:p>
    <w:p w14:paraId="7E6B53AD" w14:textId="77777777" w:rsidR="00DF311C" w:rsidRPr="00CD7D74" w:rsidRDefault="00DF311C" w:rsidP="00DF311C">
      <w:pPr>
        <w:pStyle w:val="IOPAff"/>
        <w:rPr>
          <w:b/>
          <w:bCs/>
          <w:sz w:val="20"/>
          <w:szCs w:val="24"/>
        </w:rPr>
      </w:pPr>
      <w:r w:rsidRPr="00CD7D74">
        <w:rPr>
          <w:b/>
          <w:bCs/>
          <w:sz w:val="20"/>
          <w:szCs w:val="24"/>
        </w:rPr>
        <w:t xml:space="preserve">Taylor Shigihara, PharmD, BCOP </w:t>
      </w:r>
    </w:p>
    <w:p w14:paraId="76761A91" w14:textId="77777777" w:rsidR="00DF311C" w:rsidRPr="00CD7D74" w:rsidRDefault="00DF311C" w:rsidP="00DF311C">
      <w:pPr>
        <w:pStyle w:val="IOPAff"/>
        <w:rPr>
          <w:sz w:val="20"/>
          <w:szCs w:val="24"/>
        </w:rPr>
      </w:pPr>
      <w:r w:rsidRPr="00CD7D74">
        <w:rPr>
          <w:sz w:val="20"/>
          <w:szCs w:val="24"/>
        </w:rPr>
        <w:t>Renown Regional Medical Center</w:t>
      </w:r>
      <w:r>
        <w:rPr>
          <w:sz w:val="20"/>
          <w:szCs w:val="24"/>
        </w:rPr>
        <w:t>, Reno, Nevada</w:t>
      </w: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6BC13A9B" w14:textId="5D7946FB" w:rsidR="00DF311C" w:rsidRPr="00DF311C" w:rsidRDefault="00DF311C" w:rsidP="00DF311C">
      <w:pPr>
        <w:pStyle w:val="IOPAbsText"/>
        <w:ind w:right="12"/>
        <w:rPr>
          <w:szCs w:val="20"/>
        </w:rPr>
      </w:pPr>
      <w:r w:rsidRPr="00DF311C">
        <w:rPr>
          <w:szCs w:val="20"/>
        </w:rPr>
        <w:t>Studies have demonstrated that pharmacist medication counseling improves patient adheren</w:t>
      </w:r>
      <w:r w:rsidRPr="00AA70FF">
        <w:rPr>
          <w:szCs w:val="20"/>
        </w:rPr>
        <w:t xml:space="preserve">ce, reduces adverse reactions, increases patient understanding and satisfaction, and ultimately improves patient outcomes. The majority of antineoplastic treatment and pharmacist counseling occurs in the ambulatory setting. </w:t>
      </w:r>
      <w:r w:rsidR="00AA70FF" w:rsidRPr="00AA70FF">
        <w:rPr>
          <w:szCs w:val="20"/>
        </w:rPr>
        <w:t xml:space="preserve">Inpatient chemotherapy is also a key component in the cancer care process, but pharmacist counseling is less common in the inpatient setting. </w:t>
      </w:r>
      <w:r w:rsidRPr="00DF311C">
        <w:rPr>
          <w:szCs w:val="20"/>
        </w:rPr>
        <w:t xml:space="preserve">As a result, the benefits of pharmacist counseling are less established for hospitalized patients. Historically, at Renown Regional Medical Center, inpatient chemotherapy education has consisted of general sessions with registered nurses. Renown Regional Medical Center’s pharmacy department has implemented a pharmacist counseling program for new-start inpatient chemotherapies. The goal of this project is to evaluate the pharmacist counseling program for newly initiated chemotherapy regimens. </w:t>
      </w: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58A9DE96" w14:textId="50C7121B" w:rsidR="00DF311C" w:rsidRPr="00DF311C" w:rsidRDefault="00DF311C" w:rsidP="00DF311C">
      <w:pPr>
        <w:pStyle w:val="IOPAbsText"/>
        <w:ind w:right="12"/>
        <w:rPr>
          <w:szCs w:val="20"/>
        </w:rPr>
      </w:pPr>
      <w:r w:rsidRPr="00DF311C">
        <w:rPr>
          <w:szCs w:val="20"/>
        </w:rPr>
        <w:t xml:space="preserve">This is a quality improvement project and feasibility study </w:t>
      </w:r>
      <w:r w:rsidR="0028378B">
        <w:rPr>
          <w:szCs w:val="20"/>
        </w:rPr>
        <w:t>that occurred</w:t>
      </w:r>
      <w:r w:rsidRPr="00DF311C">
        <w:rPr>
          <w:szCs w:val="20"/>
        </w:rPr>
        <w:t xml:space="preserve"> at Renown Regional Medical Center. It includes adult patients receiving their first cycle of inpatient oncolytic therapy who received a face-to-face counseling session with a clinical pharmacist. </w:t>
      </w:r>
      <w:r w:rsidR="0028378B">
        <w:rPr>
          <w:szCs w:val="20"/>
        </w:rPr>
        <w:t>Data was collected</w:t>
      </w:r>
      <w:r w:rsidRPr="00DF311C">
        <w:rPr>
          <w:szCs w:val="20"/>
        </w:rPr>
        <w:t xml:space="preserve"> from October 1, 2024 to February 28, 2025. </w:t>
      </w:r>
      <w:r w:rsidRPr="00AA70FF">
        <w:rPr>
          <w:szCs w:val="20"/>
        </w:rPr>
        <w:t xml:space="preserve">Data collected </w:t>
      </w:r>
      <w:r w:rsidR="00AA70FF" w:rsidRPr="00AA70FF">
        <w:rPr>
          <w:szCs w:val="20"/>
        </w:rPr>
        <w:t>includes</w:t>
      </w:r>
      <w:r w:rsidRPr="00AA70FF">
        <w:rPr>
          <w:szCs w:val="20"/>
        </w:rPr>
        <w:t xml:space="preserve"> patient demographics, day of therapy completed, additional interventions made from the session, patient questions, diagnoses and associated treatment regimens</w:t>
      </w:r>
      <w:r w:rsidR="00AA70FF" w:rsidRPr="00AA70FF">
        <w:rPr>
          <w:szCs w:val="20"/>
        </w:rPr>
        <w:t xml:space="preserve">, </w:t>
      </w:r>
      <w:r w:rsidRPr="00AA70FF">
        <w:rPr>
          <w:szCs w:val="20"/>
        </w:rPr>
        <w:t>and amount of time spent on face-to-face interaction with the patient. The primary endpoint is the number of new-start chemotherapy patients who received a full counseling session with a pharmacist. Secondary endpoints include mean time spent with the patient</w:t>
      </w:r>
      <w:r w:rsidR="0028378B">
        <w:rPr>
          <w:szCs w:val="20"/>
        </w:rPr>
        <w:t xml:space="preserve">, </w:t>
      </w:r>
      <w:r w:rsidRPr="00AA70FF">
        <w:rPr>
          <w:szCs w:val="20"/>
        </w:rPr>
        <w:t>number of pharmacist interventions made from these sessions</w:t>
      </w:r>
      <w:r w:rsidR="0028378B">
        <w:rPr>
          <w:szCs w:val="20"/>
        </w:rPr>
        <w:t>, and day of therapy that counseling was completed</w:t>
      </w:r>
      <w:r w:rsidRPr="00AA70FF">
        <w:rPr>
          <w:szCs w:val="20"/>
        </w:rPr>
        <w:t xml:space="preserve">. </w:t>
      </w: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2C7C24F9" w14:textId="74AC41A4" w:rsidR="00DF311C" w:rsidRPr="00EC55F9" w:rsidRDefault="00DF311C" w:rsidP="00AA70FF">
      <w:pPr>
        <w:pStyle w:val="IOPAbsText"/>
        <w:spacing w:after="160"/>
        <w:ind w:right="14"/>
        <w:rPr>
          <w:noProof/>
          <w:szCs w:val="20"/>
        </w:rPr>
      </w:pPr>
      <w:r w:rsidRPr="00DF311C">
        <w:rPr>
          <w:noProof/>
          <w:szCs w:val="20"/>
        </w:rPr>
        <w:t>In total, 44 counseling interventions were included in this study</w:t>
      </w:r>
      <w:r w:rsidRPr="00A6323F">
        <w:rPr>
          <w:noProof/>
          <w:szCs w:val="20"/>
        </w:rPr>
        <w:t xml:space="preserve">. </w:t>
      </w:r>
      <w:r w:rsidR="00095D9A">
        <w:rPr>
          <w:noProof/>
          <w:szCs w:val="20"/>
        </w:rPr>
        <w:t>Of these, 41</w:t>
      </w:r>
      <w:r w:rsidRPr="00A6323F">
        <w:rPr>
          <w:noProof/>
          <w:szCs w:val="20"/>
        </w:rPr>
        <w:t xml:space="preserve"> (93%) counseling sessions were completed</w:t>
      </w:r>
      <w:r w:rsidR="004B5171">
        <w:rPr>
          <w:noProof/>
          <w:szCs w:val="20"/>
        </w:rPr>
        <w:t xml:space="preserve"> and 3 (7%) were unable to be completed</w:t>
      </w:r>
      <w:r w:rsidRPr="00A6323F">
        <w:rPr>
          <w:noProof/>
          <w:szCs w:val="20"/>
        </w:rPr>
        <w:t xml:space="preserve">. A counseling session took 13 minutes on average to complete. </w:t>
      </w:r>
      <w:r w:rsidRPr="00DF311C">
        <w:rPr>
          <w:noProof/>
          <w:szCs w:val="20"/>
        </w:rPr>
        <w:t>There were 15 additional interventions attributed to counseling.</w:t>
      </w:r>
      <w:r w:rsidRPr="00DF311C">
        <w:rPr>
          <w:noProof/>
          <w:color w:val="FF0000"/>
          <w:szCs w:val="20"/>
        </w:rPr>
        <w:t xml:space="preserve"> </w:t>
      </w:r>
      <w:r w:rsidR="00095D9A">
        <w:rPr>
          <w:noProof/>
          <w:szCs w:val="20"/>
        </w:rPr>
        <w:t>Thirty-four</w:t>
      </w:r>
      <w:r w:rsidRPr="00DF311C">
        <w:rPr>
          <w:noProof/>
          <w:szCs w:val="20"/>
        </w:rPr>
        <w:t xml:space="preserve"> (83%) were completed on Day 1 of therapy. </w:t>
      </w:r>
      <w:r w:rsidR="00AA70FF">
        <w:rPr>
          <w:noProof/>
          <w:szCs w:val="20"/>
        </w:rPr>
        <w:br/>
      </w:r>
      <w:r w:rsidR="00894AF3" w:rsidRPr="00A975EF">
        <w:rPr>
          <w:b/>
          <w:bCs/>
          <w:noProof/>
          <w:szCs w:val="24"/>
        </w:rPr>
        <w:t xml:space="preserve">Conclusion  </w:t>
      </w:r>
      <w:r w:rsidR="00AA70FF">
        <w:rPr>
          <w:noProof/>
          <w:szCs w:val="20"/>
        </w:rPr>
        <w:br/>
      </w:r>
      <w:r w:rsidRPr="00DF311C">
        <w:rPr>
          <w:noProof/>
          <w:szCs w:val="20"/>
        </w:rPr>
        <w:t xml:space="preserve">The addition of pharmacist counseling on new start antineoplastics is feasible and beneficial in the inpatient setting. There are opportunities for </w:t>
      </w:r>
      <w:r w:rsidR="00EC55F9">
        <w:rPr>
          <w:noProof/>
          <w:szCs w:val="20"/>
        </w:rPr>
        <w:t>more educational material options</w:t>
      </w:r>
      <w:r w:rsidRPr="00DF311C">
        <w:rPr>
          <w:noProof/>
          <w:color w:val="FF0000"/>
          <w:szCs w:val="20"/>
        </w:rPr>
        <w:t xml:space="preserve"> </w:t>
      </w:r>
      <w:r w:rsidRPr="00DF311C">
        <w:rPr>
          <w:noProof/>
          <w:szCs w:val="20"/>
        </w:rPr>
        <w:t xml:space="preserve">and further research, such as on the impact </w:t>
      </w:r>
      <w:r w:rsidRPr="00EC55F9">
        <w:rPr>
          <w:noProof/>
          <w:szCs w:val="20"/>
        </w:rPr>
        <w:t xml:space="preserve">to patients’ perception of chemotherapy, outpatient adherence, and readmission rates. </w:t>
      </w:r>
    </w:p>
    <w:p w14:paraId="3870213A" w14:textId="1BAB54F7" w:rsidR="004D2E4E" w:rsidRPr="008613A3" w:rsidRDefault="00AA70FF" w:rsidP="00A975EF">
      <w:pPr>
        <w:pStyle w:val="IOPKwd"/>
        <w:rPr>
          <w:sz w:val="18"/>
        </w:rPr>
        <w:sectPr w:rsidR="004D2E4E" w:rsidRPr="008613A3" w:rsidSect="00717D41">
          <w:headerReference w:type="default" r:id="rId11"/>
          <w:footerReference w:type="default" r:id="rId12"/>
          <w:pgSz w:w="11906" w:h="16838"/>
          <w:pgMar w:top="1584" w:right="1008" w:bottom="1584" w:left="1008" w:header="720" w:footer="720" w:gutter="0"/>
          <w:cols w:space="708"/>
          <w:docGrid w:linePitch="360"/>
        </w:sectPr>
      </w:pPr>
      <w:r w:rsidRPr="008613A3">
        <w:rPr>
          <w:sz w:val="18"/>
        </w:rPr>
        <w:t>Keywords:  chemotherapy, pharmacist counseling</w:t>
      </w:r>
    </w:p>
    <w:p w14:paraId="6BB664D9" w14:textId="77777777" w:rsidR="00A6323F" w:rsidRDefault="00A6323F" w:rsidP="00A6323F">
      <w:pPr>
        <w:pStyle w:val="IOPH1"/>
        <w:rPr>
          <w:rFonts w:ascii="Times New Roman" w:hAnsi="Times New Roman"/>
          <w:sz w:val="24"/>
          <w:szCs w:val="24"/>
        </w:rPr>
      </w:pPr>
    </w:p>
    <w:p w14:paraId="3FEE30E4" w14:textId="77777777" w:rsidR="00AA70FF" w:rsidRDefault="00AA70FF" w:rsidP="00A6323F">
      <w:pPr>
        <w:pStyle w:val="IOPH1"/>
        <w:rPr>
          <w:rFonts w:ascii="Times New Roman" w:hAnsi="Times New Roman"/>
          <w:sz w:val="24"/>
          <w:szCs w:val="24"/>
        </w:rPr>
      </w:pPr>
    </w:p>
    <w:p w14:paraId="52044D42" w14:textId="77777777" w:rsidR="00AA70FF" w:rsidRDefault="00AA70FF" w:rsidP="00A6323F">
      <w:pPr>
        <w:pStyle w:val="IOPH1"/>
        <w:rPr>
          <w:rFonts w:ascii="Times New Roman" w:hAnsi="Times New Roman"/>
          <w:sz w:val="24"/>
          <w:szCs w:val="24"/>
        </w:rPr>
      </w:pPr>
    </w:p>
    <w:p w14:paraId="0DA6B656" w14:textId="77777777" w:rsidR="00A6323F" w:rsidRDefault="00A6323F" w:rsidP="00A6323F">
      <w:pPr>
        <w:pStyle w:val="IOPH1"/>
        <w:rPr>
          <w:rFonts w:ascii="Times New Roman" w:hAnsi="Times New Roman"/>
          <w:sz w:val="24"/>
          <w:szCs w:val="24"/>
        </w:rPr>
      </w:pPr>
    </w:p>
    <w:p w14:paraId="2F2F16CB" w14:textId="4F47B990" w:rsidR="00A6323F" w:rsidRPr="00892C52" w:rsidRDefault="00A6323F" w:rsidP="00A6323F">
      <w:pPr>
        <w:pStyle w:val="IOPH1"/>
        <w:rPr>
          <w:rFonts w:ascii="Times New Roman" w:hAnsi="Times New Roman"/>
          <w:sz w:val="24"/>
          <w:szCs w:val="24"/>
        </w:rPr>
      </w:pPr>
      <w:r w:rsidRPr="00892C52">
        <w:rPr>
          <w:rFonts w:ascii="Times New Roman" w:hAnsi="Times New Roman"/>
          <w:sz w:val="24"/>
          <w:szCs w:val="24"/>
        </w:rPr>
        <w:lastRenderedPageBreak/>
        <w:t>1. Background</w:t>
      </w:r>
    </w:p>
    <w:p w14:paraId="3C8A375F" w14:textId="163655B2" w:rsidR="00A6323F" w:rsidRDefault="00A6323F" w:rsidP="00A6323F">
      <w:pPr>
        <w:pStyle w:val="IOPH1"/>
        <w:ind w:firstLine="144"/>
        <w:contextualSpacing/>
        <w:rPr>
          <w:rFonts w:ascii="Times New Roman" w:hAnsi="Times New Roman"/>
          <w:b w:val="0"/>
          <w:bCs/>
          <w:sz w:val="24"/>
          <w:szCs w:val="24"/>
        </w:rPr>
      </w:pPr>
      <w:r w:rsidRPr="00892C52">
        <w:rPr>
          <w:rFonts w:ascii="Times New Roman" w:hAnsi="Times New Roman"/>
          <w:b w:val="0"/>
          <w:bCs/>
          <w:sz w:val="24"/>
          <w:szCs w:val="24"/>
        </w:rPr>
        <w:t>The American Society of Health Systems Pharmacists (ASHP) recognize</w:t>
      </w:r>
      <w:r>
        <w:rPr>
          <w:rFonts w:ascii="Times New Roman" w:hAnsi="Times New Roman"/>
          <w:b w:val="0"/>
          <w:bCs/>
          <w:sz w:val="24"/>
          <w:szCs w:val="24"/>
        </w:rPr>
        <w:t>s</w:t>
      </w:r>
      <w:r w:rsidRPr="00892C52">
        <w:rPr>
          <w:rFonts w:ascii="Times New Roman" w:hAnsi="Times New Roman"/>
          <w:b w:val="0"/>
          <w:bCs/>
          <w:sz w:val="24"/>
          <w:szCs w:val="24"/>
        </w:rPr>
        <w:t xml:space="preserve"> the key role that pharmacists play in patient education. Pharmacists can act as a source of knowledge and support to the patient, as well as offer additional resources. A 2014 meta-analysis of pharmacist counseling estimated that approximately 60% of counseling occurs in the ambulatory setting, and 25% occurs at discharge, leaving 15% for other settings, such as during inpatient admissions</w:t>
      </w:r>
      <w:r>
        <w:rPr>
          <w:rFonts w:ascii="Times New Roman" w:hAnsi="Times New Roman"/>
          <w:b w:val="0"/>
          <w:bCs/>
          <w:sz w:val="24"/>
          <w:szCs w:val="24"/>
          <w:vertAlign w:val="superscript"/>
        </w:rPr>
        <w:t>1</w:t>
      </w:r>
      <w:r>
        <w:rPr>
          <w:rFonts w:ascii="Times New Roman" w:hAnsi="Times New Roman"/>
          <w:b w:val="0"/>
          <w:bCs/>
          <w:sz w:val="24"/>
          <w:szCs w:val="24"/>
        </w:rPr>
        <w:t xml:space="preserve">, making the pharmacist resource underutilized in the inpatient setting. </w:t>
      </w:r>
      <w:r>
        <w:rPr>
          <w:rFonts w:ascii="Times New Roman" w:hAnsi="Times New Roman"/>
          <w:b w:val="0"/>
          <w:bCs/>
          <w:sz w:val="24"/>
          <w:szCs w:val="24"/>
        </w:rPr>
        <w:br/>
        <w:t xml:space="preserve">   Antineoplastic regimens, often initiated inpatient, are high-risk, complex medication regimens with many factors, supportive medications, and unique challenges for the patient. Antineoplastics are associated with a decrease in quality of life</w:t>
      </w:r>
      <w:r>
        <w:rPr>
          <w:rFonts w:ascii="Times New Roman" w:hAnsi="Times New Roman"/>
          <w:b w:val="0"/>
          <w:bCs/>
          <w:sz w:val="24"/>
          <w:szCs w:val="24"/>
          <w:vertAlign w:val="superscript"/>
        </w:rPr>
        <w:t>2</w:t>
      </w:r>
      <w:r>
        <w:rPr>
          <w:rFonts w:ascii="Times New Roman" w:hAnsi="Times New Roman"/>
          <w:b w:val="0"/>
          <w:bCs/>
          <w:sz w:val="24"/>
          <w:szCs w:val="24"/>
        </w:rPr>
        <w:t>. However, pharmacist counseling on antineoplastics has been demonstrated to improve quality of life and mental health scores, and increase adherence</w:t>
      </w:r>
      <w:r>
        <w:rPr>
          <w:rFonts w:ascii="Times New Roman" w:hAnsi="Times New Roman"/>
          <w:b w:val="0"/>
          <w:bCs/>
          <w:sz w:val="24"/>
          <w:szCs w:val="24"/>
          <w:vertAlign w:val="superscript"/>
        </w:rPr>
        <w:t>3,4,5,6</w:t>
      </w:r>
      <w:r>
        <w:rPr>
          <w:rFonts w:ascii="Times New Roman" w:hAnsi="Times New Roman"/>
          <w:b w:val="0"/>
          <w:bCs/>
          <w:sz w:val="24"/>
          <w:szCs w:val="24"/>
        </w:rPr>
        <w:t xml:space="preserve">. </w:t>
      </w:r>
    </w:p>
    <w:p w14:paraId="5111B1D9" w14:textId="77777777" w:rsidR="00A6323F" w:rsidRDefault="00A6323F" w:rsidP="00A6323F">
      <w:pPr>
        <w:pStyle w:val="IOPH1"/>
        <w:ind w:firstLine="144"/>
        <w:contextualSpacing/>
        <w:rPr>
          <w:rFonts w:ascii="Times New Roman" w:hAnsi="Times New Roman"/>
          <w:b w:val="0"/>
          <w:bCs/>
          <w:sz w:val="24"/>
          <w:szCs w:val="24"/>
        </w:rPr>
      </w:pPr>
      <w:r>
        <w:rPr>
          <w:rFonts w:ascii="Times New Roman" w:hAnsi="Times New Roman"/>
          <w:b w:val="0"/>
          <w:bCs/>
          <w:sz w:val="24"/>
          <w:szCs w:val="24"/>
        </w:rPr>
        <w:t xml:space="preserve">Most of these findings occurred in outpatients, however Sebring et al in 2020 did study the impact of pharmacist consultation prior to discharge for inpatients receiving cycle 1 of chemotherapy. They studied the impact on outpatient follow-up visit adherence, demonstrating a statistically significant improvement. </w:t>
      </w:r>
    </w:p>
    <w:p w14:paraId="165DEF79" w14:textId="1ECA46FA" w:rsidR="00A6323F" w:rsidRDefault="00A6323F" w:rsidP="00A6323F">
      <w:pPr>
        <w:pStyle w:val="IOPH1"/>
        <w:ind w:firstLine="144"/>
        <w:contextualSpacing/>
        <w:rPr>
          <w:rFonts w:ascii="Times New Roman" w:hAnsi="Times New Roman"/>
          <w:b w:val="0"/>
          <w:bCs/>
          <w:sz w:val="24"/>
          <w:szCs w:val="24"/>
        </w:rPr>
      </w:pPr>
      <w:r>
        <w:rPr>
          <w:rFonts w:ascii="Times New Roman" w:hAnsi="Times New Roman"/>
          <w:b w:val="0"/>
          <w:bCs/>
          <w:sz w:val="24"/>
          <w:szCs w:val="24"/>
        </w:rPr>
        <w:t xml:space="preserve">Overall, patients admitted for antineoplastics are less likely to receive pharmacist counseling and therefore less likely to receive the potential benefits. At Renown Regional Medical Center, pharmacists are heavily involved in the process of antineoplastic initiation. </w:t>
      </w:r>
      <w:r w:rsidRPr="00A6323F">
        <w:rPr>
          <w:rFonts w:ascii="Times New Roman" w:hAnsi="Times New Roman"/>
          <w:b w:val="0"/>
          <w:bCs/>
          <w:sz w:val="24"/>
          <w:szCs w:val="24"/>
        </w:rPr>
        <w:t>Pharmacists assist in the selection and dosing of antineoplastic regimens based on patient and disease characteristics and are responsible for order verification and the safe compounding of the final product</w:t>
      </w:r>
      <w:r w:rsidRPr="002A77E5">
        <w:rPr>
          <w:rFonts w:ascii="Times New Roman" w:hAnsi="Times New Roman"/>
          <w:b w:val="0"/>
          <w:bCs/>
          <w:color w:val="FF0000"/>
          <w:sz w:val="24"/>
          <w:szCs w:val="24"/>
        </w:rPr>
        <w:t xml:space="preserve">. </w:t>
      </w:r>
      <w:r>
        <w:rPr>
          <w:rFonts w:ascii="Times New Roman" w:hAnsi="Times New Roman"/>
          <w:b w:val="0"/>
          <w:bCs/>
          <w:sz w:val="24"/>
          <w:szCs w:val="24"/>
        </w:rPr>
        <w:t xml:space="preserve">Given the significance of pharmacists in this process, Renown identified an opportunity for involvement with the education process as well. </w:t>
      </w:r>
      <w:r>
        <w:rPr>
          <w:rFonts w:ascii="Times New Roman" w:hAnsi="Times New Roman"/>
          <w:b w:val="0"/>
          <w:bCs/>
          <w:sz w:val="24"/>
          <w:szCs w:val="24"/>
        </w:rPr>
        <w:t xml:space="preserve">In September of 2024, pharmacist counseling of new-start inpatient antineoplastics began. </w:t>
      </w:r>
    </w:p>
    <w:p w14:paraId="2CB8AC7B" w14:textId="100A9150" w:rsidR="00A6323F" w:rsidRPr="00DC7C3E" w:rsidRDefault="00A6323F" w:rsidP="00A6323F">
      <w:pPr>
        <w:pStyle w:val="IOPH1"/>
        <w:ind w:firstLine="144"/>
        <w:contextualSpacing/>
        <w:rPr>
          <w:rFonts w:ascii="Times New Roman" w:hAnsi="Times New Roman"/>
          <w:b w:val="0"/>
          <w:bCs/>
          <w:sz w:val="24"/>
          <w:szCs w:val="24"/>
        </w:rPr>
      </w:pPr>
      <w:r>
        <w:rPr>
          <w:rFonts w:ascii="Times New Roman" w:hAnsi="Times New Roman"/>
          <w:b w:val="0"/>
          <w:bCs/>
          <w:sz w:val="24"/>
          <w:szCs w:val="24"/>
        </w:rPr>
        <w:t xml:space="preserve">Historically, inpatient education was performed by the registered nurse (RN). Pharmacists would be involved upon request. RN education consisted primarily of generalized information on isolation precautions, infection prevention and recognition, and outpatient follow-up instructions. With the implementation of pharmacist counseling, nurses still perform their portion of education. The pharmacist would address drug-specific information and patient questions, allowing nurses more time to focus on </w:t>
      </w:r>
      <w:r w:rsidR="00095D9A">
        <w:rPr>
          <w:rFonts w:ascii="Times New Roman" w:hAnsi="Times New Roman"/>
          <w:b w:val="0"/>
          <w:bCs/>
          <w:sz w:val="24"/>
          <w:szCs w:val="24"/>
        </w:rPr>
        <w:t>other</w:t>
      </w:r>
      <w:r>
        <w:rPr>
          <w:rFonts w:ascii="Times New Roman" w:hAnsi="Times New Roman"/>
          <w:b w:val="0"/>
          <w:bCs/>
          <w:sz w:val="24"/>
          <w:szCs w:val="24"/>
        </w:rPr>
        <w:t xml:space="preserve"> factors. </w:t>
      </w:r>
      <w:r w:rsidR="00BA484B">
        <w:rPr>
          <w:rFonts w:ascii="Times New Roman" w:hAnsi="Times New Roman"/>
          <w:b w:val="0"/>
          <w:bCs/>
          <w:sz w:val="24"/>
          <w:szCs w:val="24"/>
        </w:rPr>
        <w:t>The objective of this study is to evaluate the impact of pharmacist counseling on inpatient new-start chemotherapies on both the patient and pharmacist staff.</w:t>
      </w:r>
    </w:p>
    <w:p w14:paraId="43BDB503" w14:textId="77777777" w:rsidR="00A6323F" w:rsidRPr="00326667" w:rsidRDefault="00A6323F" w:rsidP="00A6323F">
      <w:pPr>
        <w:spacing w:before="200" w:after="120"/>
        <w:rPr>
          <w:rFonts w:ascii="Times New Roman" w:hAnsi="Times New Roman"/>
          <w:b/>
          <w:sz w:val="28"/>
        </w:rPr>
      </w:pPr>
      <w:r>
        <w:rPr>
          <w:rFonts w:ascii="Times New Roman" w:hAnsi="Times New Roman"/>
          <w:b/>
          <w:sz w:val="28"/>
        </w:rPr>
        <w:t>2</w:t>
      </w:r>
      <w:r w:rsidRPr="00326667">
        <w:rPr>
          <w:rFonts w:ascii="Times New Roman" w:hAnsi="Times New Roman"/>
          <w:b/>
          <w:sz w:val="28"/>
        </w:rPr>
        <w:t>. Process</w:t>
      </w:r>
    </w:p>
    <w:p w14:paraId="5FD6151F" w14:textId="77777777" w:rsidR="00A6323F" w:rsidRPr="009F5F32" w:rsidRDefault="00A6323F" w:rsidP="00A6323F">
      <w:pPr>
        <w:rPr>
          <w:rFonts w:ascii="Times New Roman" w:hAnsi="Times New Roman"/>
          <w:i/>
          <w:iCs/>
          <w:sz w:val="24"/>
          <w:szCs w:val="24"/>
        </w:rPr>
      </w:pPr>
      <w:r>
        <w:rPr>
          <w:rFonts w:ascii="Times New Roman" w:hAnsi="Times New Roman"/>
          <w:i/>
          <w:iCs/>
          <w:sz w:val="24"/>
          <w:szCs w:val="24"/>
        </w:rPr>
        <w:t>2</w:t>
      </w:r>
      <w:r w:rsidRPr="009F5F32">
        <w:rPr>
          <w:rFonts w:ascii="Times New Roman" w:hAnsi="Times New Roman"/>
          <w:i/>
          <w:iCs/>
          <w:sz w:val="24"/>
          <w:szCs w:val="24"/>
        </w:rPr>
        <w:t>.</w:t>
      </w:r>
      <w:r>
        <w:rPr>
          <w:rFonts w:ascii="Times New Roman" w:hAnsi="Times New Roman"/>
          <w:i/>
          <w:iCs/>
          <w:sz w:val="24"/>
          <w:szCs w:val="24"/>
        </w:rPr>
        <w:t>1</w:t>
      </w:r>
      <w:r w:rsidRPr="009F5F32">
        <w:rPr>
          <w:rFonts w:ascii="Times New Roman" w:hAnsi="Times New Roman"/>
          <w:i/>
          <w:iCs/>
          <w:sz w:val="24"/>
          <w:szCs w:val="24"/>
        </w:rPr>
        <w:t xml:space="preserve"> Identification </w:t>
      </w:r>
    </w:p>
    <w:p w14:paraId="0227E840" w14:textId="0AAEBA8C" w:rsidR="00A6323F" w:rsidRDefault="00A6323F" w:rsidP="00A6323F">
      <w:pPr>
        <w:rPr>
          <w:rFonts w:ascii="Times New Roman" w:hAnsi="Times New Roman"/>
          <w:sz w:val="24"/>
          <w:szCs w:val="24"/>
        </w:rPr>
      </w:pPr>
      <w:r w:rsidRPr="00A6323F">
        <w:rPr>
          <w:rFonts w:ascii="Times New Roman" w:hAnsi="Times New Roman"/>
          <w:bCs/>
          <w:sz w:val="24"/>
          <w:szCs w:val="24"/>
        </w:rPr>
        <w:t xml:space="preserve">   Renown Oncology uses EPIC’s Beacon™ oncology module to manage antineoplastic regimens. </w:t>
      </w:r>
      <w:r w:rsidRPr="00A6323F">
        <w:rPr>
          <w:rFonts w:ascii="Times New Roman" w:hAnsi="Times New Roman"/>
          <w:bCs/>
          <w:sz w:val="24"/>
          <w:szCs w:val="24"/>
        </w:rPr>
        <w:br/>
        <w:t xml:space="preserve">   A pharmacy consult order for pharmacist counseling was added to all inpatient EPIC Beacon™ plans. The pharmacy consult order would be released from the plan and used to identify new-start chemotherapies in need of counseling.  Once released, the consult would appear on the pharmacist daily workflow</w:t>
      </w:r>
      <w:r>
        <w:rPr>
          <w:rFonts w:ascii="Times New Roman" w:hAnsi="Times New Roman"/>
          <w:sz w:val="24"/>
          <w:szCs w:val="24"/>
        </w:rPr>
        <w:t xml:space="preserve">. </w:t>
      </w:r>
    </w:p>
    <w:p w14:paraId="500584B7" w14:textId="77777777" w:rsidR="00A6323F" w:rsidRPr="009F5F32" w:rsidRDefault="00A6323F" w:rsidP="00A6323F">
      <w:pPr>
        <w:rPr>
          <w:rFonts w:ascii="Times New Roman" w:hAnsi="Times New Roman"/>
          <w:i/>
          <w:iCs/>
          <w:sz w:val="24"/>
          <w:szCs w:val="24"/>
        </w:rPr>
      </w:pPr>
      <w:r>
        <w:rPr>
          <w:rFonts w:ascii="Times New Roman" w:hAnsi="Times New Roman"/>
          <w:i/>
          <w:iCs/>
          <w:sz w:val="24"/>
          <w:szCs w:val="24"/>
        </w:rPr>
        <w:t>2.2</w:t>
      </w:r>
      <w:r w:rsidRPr="009F5F32">
        <w:rPr>
          <w:rFonts w:ascii="Times New Roman" w:hAnsi="Times New Roman"/>
          <w:i/>
          <w:iCs/>
          <w:sz w:val="24"/>
          <w:szCs w:val="24"/>
        </w:rPr>
        <w:t xml:space="preserve"> Preparation </w:t>
      </w:r>
    </w:p>
    <w:p w14:paraId="54DED05C" w14:textId="1A2016E7" w:rsidR="00A6323F" w:rsidRPr="008F70CD" w:rsidRDefault="00A6323F" w:rsidP="00A6323F">
      <w:pPr>
        <w:rPr>
          <w:rFonts w:ascii="Times New Roman" w:hAnsi="Times New Roman"/>
          <w:sz w:val="24"/>
          <w:szCs w:val="24"/>
        </w:rPr>
      </w:pPr>
      <w:r>
        <w:rPr>
          <w:rFonts w:ascii="Times New Roman" w:hAnsi="Times New Roman"/>
          <w:sz w:val="24"/>
          <w:szCs w:val="24"/>
        </w:rPr>
        <w:t xml:space="preserve">   Upon identification of eligible patients, the pharmacist would chart review the patient to identify potential areas of focus, concerns, or questions to ask the patient. </w:t>
      </w:r>
      <w:r>
        <w:rPr>
          <w:rFonts w:ascii="Times New Roman" w:hAnsi="Times New Roman"/>
          <w:sz w:val="24"/>
          <w:szCs w:val="24"/>
        </w:rPr>
        <w:br/>
        <w:t xml:space="preserve">   The pharmacist would then select appropriate educational material. The preferred resource for educational materials was the National Community Oncology Dispensing Association (NCODA) which provides comprehensive education for complete regimens. If NCODA was unavailable for the patient’s regimen, the </w:t>
      </w:r>
      <w:r>
        <w:rPr>
          <w:rFonts w:ascii="Times New Roman" w:hAnsi="Times New Roman"/>
          <w:sz w:val="24"/>
          <w:szCs w:val="24"/>
        </w:rPr>
        <w:lastRenderedPageBreak/>
        <w:t>secondary preference was Cancer Care Ontario, which provides education on individual agents in the regimen. If an agent was not available on either resource, it was left to pharmacist discretion to determine the appropriate resource.</w:t>
      </w:r>
    </w:p>
    <w:p w14:paraId="02EC4BB1" w14:textId="77777777" w:rsidR="00A6323F" w:rsidRPr="009F5F32" w:rsidRDefault="00A6323F" w:rsidP="00A6323F">
      <w:pPr>
        <w:rPr>
          <w:rFonts w:ascii="Times New Roman" w:hAnsi="Times New Roman"/>
          <w:i/>
          <w:iCs/>
          <w:sz w:val="24"/>
          <w:szCs w:val="24"/>
        </w:rPr>
      </w:pPr>
      <w:r>
        <w:rPr>
          <w:rFonts w:ascii="Times New Roman" w:hAnsi="Times New Roman"/>
          <w:i/>
          <w:iCs/>
          <w:sz w:val="24"/>
          <w:szCs w:val="24"/>
        </w:rPr>
        <w:t>2.3</w:t>
      </w:r>
      <w:r w:rsidRPr="009F5F32">
        <w:rPr>
          <w:rFonts w:ascii="Times New Roman" w:hAnsi="Times New Roman"/>
          <w:i/>
          <w:iCs/>
          <w:sz w:val="24"/>
          <w:szCs w:val="24"/>
        </w:rPr>
        <w:t xml:space="preserve"> Counseling</w:t>
      </w:r>
    </w:p>
    <w:p w14:paraId="3E2078DA" w14:textId="32ABFC22" w:rsidR="00A6323F" w:rsidRPr="008F70CD" w:rsidRDefault="00A6323F" w:rsidP="00A6323F">
      <w:pPr>
        <w:rPr>
          <w:rFonts w:ascii="Times New Roman" w:hAnsi="Times New Roman"/>
          <w:sz w:val="24"/>
          <w:szCs w:val="24"/>
        </w:rPr>
      </w:pPr>
      <w:r>
        <w:rPr>
          <w:rFonts w:ascii="Times New Roman" w:hAnsi="Times New Roman"/>
          <w:sz w:val="24"/>
          <w:szCs w:val="24"/>
        </w:rPr>
        <w:t xml:space="preserve">   The pharmacist would bring the educational materials to the patient, introduce themselves, counsel the patient, and provide an opportunity to ask questions. Patients were informed that if questions arose after counseling, they could request a pharmacist to return to their room. There was no specific script for counseling</w:t>
      </w:r>
      <w:r w:rsidR="00BA484B">
        <w:rPr>
          <w:rFonts w:ascii="Times New Roman" w:hAnsi="Times New Roman"/>
          <w:sz w:val="24"/>
          <w:szCs w:val="24"/>
        </w:rPr>
        <w:t>;</w:t>
      </w:r>
      <w:r>
        <w:rPr>
          <w:rFonts w:ascii="Times New Roman" w:hAnsi="Times New Roman"/>
          <w:sz w:val="24"/>
          <w:szCs w:val="24"/>
        </w:rPr>
        <w:t xml:space="preserve"> the flow and style were left to pharmacist discretion. </w:t>
      </w:r>
      <w:r w:rsidRPr="008F70CD">
        <w:rPr>
          <w:rFonts w:ascii="Times New Roman" w:hAnsi="Times New Roman"/>
          <w:sz w:val="24"/>
          <w:szCs w:val="24"/>
        </w:rPr>
        <w:t xml:space="preserve"> </w:t>
      </w:r>
    </w:p>
    <w:p w14:paraId="7EC91BD6" w14:textId="77777777" w:rsidR="00A6323F" w:rsidRDefault="00A6323F" w:rsidP="00A6323F">
      <w:pPr>
        <w:rPr>
          <w:rFonts w:ascii="Times New Roman" w:hAnsi="Times New Roman"/>
          <w:i/>
          <w:iCs/>
          <w:sz w:val="24"/>
          <w:szCs w:val="24"/>
        </w:rPr>
      </w:pPr>
      <w:r>
        <w:rPr>
          <w:rFonts w:ascii="Times New Roman" w:hAnsi="Times New Roman"/>
          <w:i/>
          <w:iCs/>
          <w:sz w:val="24"/>
          <w:szCs w:val="24"/>
        </w:rPr>
        <w:t>2.4</w:t>
      </w:r>
      <w:r w:rsidRPr="009F5F32">
        <w:rPr>
          <w:rFonts w:ascii="Times New Roman" w:hAnsi="Times New Roman"/>
          <w:i/>
          <w:iCs/>
          <w:sz w:val="24"/>
          <w:szCs w:val="24"/>
        </w:rPr>
        <w:t xml:space="preserve"> Documentation</w:t>
      </w:r>
    </w:p>
    <w:p w14:paraId="51EED810" w14:textId="76F0E5C7" w:rsidR="00A6323F" w:rsidRPr="00A6323F" w:rsidRDefault="00A6323F" w:rsidP="00A6323F">
      <w:pPr>
        <w:rPr>
          <w:rFonts w:ascii="Times New Roman" w:hAnsi="Times New Roman"/>
          <w:sz w:val="24"/>
          <w:szCs w:val="24"/>
        </w:rPr>
      </w:pPr>
      <w:r>
        <w:rPr>
          <w:rFonts w:ascii="Times New Roman" w:hAnsi="Times New Roman"/>
          <w:sz w:val="24"/>
          <w:szCs w:val="24"/>
        </w:rPr>
        <w:t xml:space="preserve">   Upon completion, the pharmacist would document the encounter in an EPIC™ i-vent. They would record the amount of time spent with the patient, the diagnosis, regimen name, day of therapy, general discussion points, patient questions, additional interventions made, and what educational material was provided.</w:t>
      </w:r>
      <w:r>
        <w:rPr>
          <w:rFonts w:ascii="Times New Roman" w:hAnsi="Times New Roman"/>
          <w:sz w:val="24"/>
          <w:szCs w:val="24"/>
        </w:rPr>
        <w:br/>
        <w:t xml:space="preserve">   Additional interventions were categorized (table 1). An additional intervention was defined as a problem or opportunity identified in the process of counseling that, by the pharmacist’s judgment, would not have been identified without performing education. Potential examples would include: a patient mentioning an untreated adverse effect, a home medication that may interact with their regimen, or a medical condition that may influence their treatment or supportive care. </w:t>
      </w:r>
      <w:r w:rsidRPr="009F5F32">
        <w:rPr>
          <w:rFonts w:ascii="Times New Roman" w:hAnsi="Times New Roman"/>
          <w:i/>
          <w:iCs/>
          <w:sz w:val="24"/>
          <w:szCs w:val="24"/>
        </w:rPr>
        <w:t xml:space="preserve"> </w:t>
      </w:r>
    </w:p>
    <w:tbl>
      <w:tblPr>
        <w:tblStyle w:val="TableGrid"/>
        <w:tblW w:w="0" w:type="auto"/>
        <w:tblLook w:val="04A0" w:firstRow="1" w:lastRow="0" w:firstColumn="1" w:lastColumn="0" w:noHBand="0" w:noVBand="1"/>
      </w:tblPr>
      <w:tblGrid>
        <w:gridCol w:w="4821"/>
      </w:tblGrid>
      <w:tr w:rsidR="00A6323F" w14:paraId="0390C449" w14:textId="77777777" w:rsidTr="00B62A19">
        <w:tc>
          <w:tcPr>
            <w:tcW w:w="4821" w:type="dxa"/>
          </w:tcPr>
          <w:p w14:paraId="52E3ADD6" w14:textId="77777777" w:rsidR="00A6323F" w:rsidRDefault="00A6323F" w:rsidP="00B62A19">
            <w:pPr>
              <w:rPr>
                <w:rFonts w:ascii="Times New Roman" w:hAnsi="Times New Roman"/>
                <w:sz w:val="24"/>
                <w:szCs w:val="24"/>
              </w:rPr>
            </w:pPr>
            <w:r w:rsidRPr="001730FA">
              <w:rPr>
                <w:rFonts w:ascii="Times New Roman" w:hAnsi="Times New Roman"/>
                <w:sz w:val="24"/>
                <w:szCs w:val="24"/>
              </w:rPr>
              <w:t>Disease state without pharmacotherapy: prophylaxis</w:t>
            </w:r>
          </w:p>
        </w:tc>
      </w:tr>
      <w:tr w:rsidR="00A6323F" w14:paraId="5EB23F4C" w14:textId="77777777" w:rsidTr="00B62A19">
        <w:tc>
          <w:tcPr>
            <w:tcW w:w="4821" w:type="dxa"/>
          </w:tcPr>
          <w:p w14:paraId="63C6DA51" w14:textId="77777777" w:rsidR="00A6323F" w:rsidRDefault="00A6323F" w:rsidP="00B62A19">
            <w:pPr>
              <w:rPr>
                <w:rFonts w:ascii="Times New Roman" w:hAnsi="Times New Roman"/>
                <w:sz w:val="24"/>
                <w:szCs w:val="24"/>
              </w:rPr>
            </w:pPr>
            <w:r w:rsidRPr="001730FA">
              <w:rPr>
                <w:rFonts w:ascii="Times New Roman" w:hAnsi="Times New Roman"/>
                <w:sz w:val="24"/>
                <w:szCs w:val="24"/>
              </w:rPr>
              <w:t>Disease state without pharmacotherapy: antiemetics</w:t>
            </w:r>
          </w:p>
        </w:tc>
      </w:tr>
      <w:tr w:rsidR="00A6323F" w14:paraId="033961DF" w14:textId="77777777" w:rsidTr="00B62A19">
        <w:tc>
          <w:tcPr>
            <w:tcW w:w="4821" w:type="dxa"/>
          </w:tcPr>
          <w:p w14:paraId="773339B2" w14:textId="77777777" w:rsidR="00A6323F" w:rsidRDefault="00A6323F" w:rsidP="00B62A19">
            <w:pPr>
              <w:rPr>
                <w:rFonts w:ascii="Times New Roman" w:hAnsi="Times New Roman"/>
                <w:sz w:val="24"/>
                <w:szCs w:val="24"/>
              </w:rPr>
            </w:pPr>
            <w:r w:rsidRPr="001730FA">
              <w:rPr>
                <w:rFonts w:ascii="Times New Roman" w:hAnsi="Times New Roman"/>
                <w:sz w:val="24"/>
                <w:szCs w:val="24"/>
              </w:rPr>
              <w:t>Disease state without pharmacotherapy: granulocyte colony stimulating factors</w:t>
            </w:r>
          </w:p>
        </w:tc>
      </w:tr>
      <w:tr w:rsidR="00A6323F" w14:paraId="15C82A0E" w14:textId="77777777" w:rsidTr="00B62A19">
        <w:tc>
          <w:tcPr>
            <w:tcW w:w="4821" w:type="dxa"/>
          </w:tcPr>
          <w:p w14:paraId="4B6C5365" w14:textId="77777777" w:rsidR="00A6323F" w:rsidRDefault="00A6323F" w:rsidP="00B62A19">
            <w:pPr>
              <w:rPr>
                <w:rFonts w:ascii="Times New Roman" w:hAnsi="Times New Roman"/>
                <w:sz w:val="24"/>
                <w:szCs w:val="24"/>
              </w:rPr>
            </w:pPr>
            <w:r w:rsidRPr="001730FA">
              <w:rPr>
                <w:rFonts w:ascii="Times New Roman" w:hAnsi="Times New Roman"/>
                <w:sz w:val="24"/>
                <w:szCs w:val="24"/>
              </w:rPr>
              <w:t>Disease state without pharmacotherapy: other</w:t>
            </w:r>
          </w:p>
        </w:tc>
      </w:tr>
      <w:tr w:rsidR="00A6323F" w14:paraId="5A0C4F70" w14:textId="77777777" w:rsidTr="00B62A19">
        <w:tc>
          <w:tcPr>
            <w:tcW w:w="4821" w:type="dxa"/>
          </w:tcPr>
          <w:p w14:paraId="3B0215D5" w14:textId="77777777" w:rsidR="00A6323F" w:rsidRDefault="00A6323F" w:rsidP="00B62A19">
            <w:pPr>
              <w:rPr>
                <w:rFonts w:ascii="Times New Roman" w:hAnsi="Times New Roman"/>
                <w:sz w:val="24"/>
                <w:szCs w:val="24"/>
              </w:rPr>
            </w:pPr>
            <w:r w:rsidRPr="001730FA">
              <w:rPr>
                <w:rFonts w:ascii="Times New Roman" w:hAnsi="Times New Roman"/>
                <w:sz w:val="24"/>
                <w:szCs w:val="24"/>
              </w:rPr>
              <w:t>Drug-drug interaction</w:t>
            </w:r>
          </w:p>
        </w:tc>
      </w:tr>
      <w:tr w:rsidR="00A6323F" w14:paraId="19326815" w14:textId="77777777" w:rsidTr="00B62A19">
        <w:tc>
          <w:tcPr>
            <w:tcW w:w="4821" w:type="dxa"/>
          </w:tcPr>
          <w:p w14:paraId="25506B55" w14:textId="77777777" w:rsidR="00A6323F" w:rsidRDefault="00A6323F" w:rsidP="00B62A19">
            <w:pPr>
              <w:rPr>
                <w:rFonts w:ascii="Times New Roman" w:hAnsi="Times New Roman"/>
                <w:sz w:val="24"/>
                <w:szCs w:val="24"/>
              </w:rPr>
            </w:pPr>
            <w:r w:rsidRPr="001730FA">
              <w:rPr>
                <w:rFonts w:ascii="Times New Roman" w:hAnsi="Times New Roman"/>
                <w:sz w:val="24"/>
                <w:szCs w:val="24"/>
              </w:rPr>
              <w:t>Adverse drug reaction prevented</w:t>
            </w:r>
          </w:p>
        </w:tc>
      </w:tr>
      <w:tr w:rsidR="00A6323F" w14:paraId="65948A3D" w14:textId="77777777" w:rsidTr="00B62A19">
        <w:tc>
          <w:tcPr>
            <w:tcW w:w="4821" w:type="dxa"/>
          </w:tcPr>
          <w:p w14:paraId="3DCFBD0E" w14:textId="77777777" w:rsidR="00A6323F" w:rsidRPr="001730FA" w:rsidRDefault="00A6323F" w:rsidP="00B62A19">
            <w:pPr>
              <w:rPr>
                <w:rFonts w:ascii="Times New Roman" w:hAnsi="Times New Roman"/>
                <w:sz w:val="24"/>
                <w:szCs w:val="24"/>
              </w:rPr>
            </w:pPr>
            <w:r>
              <w:rPr>
                <w:rFonts w:ascii="Times New Roman" w:hAnsi="Times New Roman"/>
                <w:sz w:val="24"/>
                <w:szCs w:val="24"/>
              </w:rPr>
              <w:t>Outpatient follow-up/logistics</w:t>
            </w:r>
          </w:p>
        </w:tc>
      </w:tr>
      <w:tr w:rsidR="00A6323F" w14:paraId="1C8A54C3" w14:textId="77777777" w:rsidTr="00B62A19">
        <w:tc>
          <w:tcPr>
            <w:tcW w:w="4821" w:type="dxa"/>
          </w:tcPr>
          <w:p w14:paraId="0E88434B" w14:textId="77777777" w:rsidR="00A6323F" w:rsidRPr="001730FA" w:rsidRDefault="00A6323F" w:rsidP="00B62A19">
            <w:pPr>
              <w:rPr>
                <w:rFonts w:ascii="Times New Roman" w:hAnsi="Times New Roman"/>
                <w:sz w:val="24"/>
                <w:szCs w:val="24"/>
              </w:rPr>
            </w:pPr>
            <w:r>
              <w:rPr>
                <w:rFonts w:ascii="Times New Roman" w:hAnsi="Times New Roman"/>
                <w:sz w:val="24"/>
                <w:szCs w:val="24"/>
              </w:rPr>
              <w:t xml:space="preserve">Other </w:t>
            </w:r>
          </w:p>
        </w:tc>
      </w:tr>
    </w:tbl>
    <w:p w14:paraId="01E27F61" w14:textId="77777777" w:rsidR="00A6323F" w:rsidRPr="001730FA" w:rsidRDefault="00A6323F" w:rsidP="00A6323F">
      <w:pPr>
        <w:rPr>
          <w:rFonts w:ascii="Times New Roman" w:hAnsi="Times New Roman"/>
          <w:i/>
          <w:iCs/>
          <w:sz w:val="24"/>
          <w:szCs w:val="24"/>
        </w:rPr>
      </w:pPr>
      <w:r>
        <w:rPr>
          <w:rFonts w:ascii="Times New Roman" w:hAnsi="Times New Roman"/>
          <w:i/>
          <w:iCs/>
          <w:sz w:val="24"/>
          <w:szCs w:val="24"/>
        </w:rPr>
        <w:t xml:space="preserve">Table 1: categories of interventions </w:t>
      </w:r>
    </w:p>
    <w:p w14:paraId="693D6B1A" w14:textId="4DC10BF6" w:rsidR="00A6323F" w:rsidRPr="00F81D3E" w:rsidRDefault="00A6323F" w:rsidP="00A6323F">
      <w:pPr>
        <w:rPr>
          <w:rFonts w:ascii="Times New Roman" w:hAnsi="Times New Roman"/>
          <w:sz w:val="24"/>
          <w:szCs w:val="24"/>
        </w:rPr>
      </w:pPr>
      <w:r>
        <w:rPr>
          <w:rFonts w:ascii="Times New Roman" w:hAnsi="Times New Roman"/>
          <w:sz w:val="24"/>
          <w:szCs w:val="24"/>
        </w:rPr>
        <w:t xml:space="preserve">   Once all tasks were completed, the pharmacist would close the intervention and discontinue the consult order from the patient chart and pharmacist workflow. </w:t>
      </w:r>
    </w:p>
    <w:p w14:paraId="7442AD7F" w14:textId="77777777" w:rsidR="00A6323F" w:rsidRPr="008F082A" w:rsidRDefault="00A6323F" w:rsidP="00A6323F">
      <w:pPr>
        <w:spacing w:before="200" w:after="120"/>
        <w:rPr>
          <w:rFonts w:ascii="Times New Roman" w:hAnsi="Times New Roman"/>
          <w:b/>
          <w:sz w:val="28"/>
        </w:rPr>
      </w:pPr>
      <w:r w:rsidRPr="008F082A">
        <w:rPr>
          <w:rFonts w:ascii="Times New Roman" w:hAnsi="Times New Roman"/>
          <w:b/>
          <w:sz w:val="28"/>
        </w:rPr>
        <w:t>3. Methods</w:t>
      </w:r>
    </w:p>
    <w:p w14:paraId="10F3125C" w14:textId="77777777" w:rsidR="00A6323F" w:rsidRDefault="00A6323F" w:rsidP="00A6323F">
      <w:pPr>
        <w:spacing w:after="0"/>
        <w:jc w:val="both"/>
        <w:rPr>
          <w:rFonts w:ascii="Times New Roman" w:hAnsi="Times New Roman"/>
          <w:sz w:val="24"/>
          <w:szCs w:val="24"/>
        </w:rPr>
      </w:pPr>
      <w:r>
        <w:rPr>
          <w:rFonts w:ascii="Times New Roman" w:hAnsi="Times New Roman"/>
          <w:sz w:val="24"/>
          <w:szCs w:val="24"/>
        </w:rPr>
        <w:t xml:space="preserve">   </w:t>
      </w:r>
      <w:r w:rsidRPr="00326667">
        <w:rPr>
          <w:rFonts w:ascii="Times New Roman" w:hAnsi="Times New Roman"/>
          <w:sz w:val="24"/>
          <w:szCs w:val="24"/>
        </w:rPr>
        <w:t>This Institutional Review Board (IRB)-</w:t>
      </w:r>
      <w:r>
        <w:rPr>
          <w:rFonts w:ascii="Times New Roman" w:hAnsi="Times New Roman"/>
          <w:sz w:val="24"/>
          <w:szCs w:val="24"/>
        </w:rPr>
        <w:t>exempted</w:t>
      </w:r>
      <w:r w:rsidRPr="00326667">
        <w:rPr>
          <w:rFonts w:ascii="Times New Roman" w:hAnsi="Times New Roman"/>
          <w:sz w:val="24"/>
          <w:szCs w:val="24"/>
        </w:rPr>
        <w:t xml:space="preserve"> retrospective chart review of electronic medical records was performed for adult patients who received pharmacist counseling on the Cancer Nursing Unit (CNU) from October 1</w:t>
      </w:r>
      <w:r w:rsidRPr="00326667">
        <w:rPr>
          <w:rFonts w:ascii="Times New Roman" w:hAnsi="Times New Roman"/>
          <w:sz w:val="24"/>
          <w:szCs w:val="24"/>
          <w:vertAlign w:val="superscript"/>
        </w:rPr>
        <w:t>st</w:t>
      </w:r>
      <w:r w:rsidRPr="00326667">
        <w:rPr>
          <w:rFonts w:ascii="Times New Roman" w:hAnsi="Times New Roman"/>
          <w:sz w:val="24"/>
          <w:szCs w:val="24"/>
        </w:rPr>
        <w:t>, 2024, to February 28</w:t>
      </w:r>
      <w:r w:rsidRPr="00326667">
        <w:rPr>
          <w:rFonts w:ascii="Times New Roman" w:hAnsi="Times New Roman"/>
          <w:sz w:val="24"/>
          <w:szCs w:val="24"/>
          <w:vertAlign w:val="superscript"/>
        </w:rPr>
        <w:t>th</w:t>
      </w:r>
      <w:r w:rsidRPr="00326667">
        <w:rPr>
          <w:rFonts w:ascii="Times New Roman" w:hAnsi="Times New Roman"/>
          <w:sz w:val="24"/>
          <w:szCs w:val="24"/>
        </w:rPr>
        <w:t xml:space="preserve">, 2025. </w:t>
      </w:r>
    </w:p>
    <w:p w14:paraId="6C3DD32C" w14:textId="77777777" w:rsidR="00A6323F" w:rsidRDefault="00A6323F" w:rsidP="00A6323F">
      <w:pPr>
        <w:spacing w:after="0"/>
        <w:jc w:val="both"/>
        <w:rPr>
          <w:rFonts w:ascii="Times New Roman" w:hAnsi="Times New Roman"/>
          <w:sz w:val="24"/>
          <w:szCs w:val="24"/>
        </w:rPr>
      </w:pPr>
      <w:r>
        <w:rPr>
          <w:rFonts w:ascii="Times New Roman" w:hAnsi="Times New Roman"/>
          <w:sz w:val="24"/>
          <w:szCs w:val="24"/>
        </w:rPr>
        <w:t xml:space="preserve">   </w:t>
      </w:r>
      <w:r w:rsidRPr="00326667">
        <w:rPr>
          <w:rFonts w:ascii="Times New Roman" w:hAnsi="Times New Roman"/>
          <w:sz w:val="24"/>
          <w:szCs w:val="24"/>
        </w:rPr>
        <w:t xml:space="preserve">Patients were excluded if they received exclusively intrathecal chemotherapy or exclusively hormonal therapy or if they were receiving chemotherapy on a floor other than CNU. Pediatric patients (&lt; 18 years old) and pregnant patients were also excluded. </w:t>
      </w:r>
    </w:p>
    <w:p w14:paraId="6542F09E" w14:textId="7EB08F2F" w:rsidR="00A6323F" w:rsidRPr="008F082A" w:rsidRDefault="00A6323F" w:rsidP="00A6323F">
      <w:pPr>
        <w:spacing w:after="0"/>
        <w:jc w:val="both"/>
        <w:rPr>
          <w:rFonts w:ascii="Times New Roman" w:hAnsi="Times New Roman"/>
          <w:sz w:val="24"/>
          <w:szCs w:val="24"/>
        </w:rPr>
      </w:pPr>
      <w:r>
        <w:rPr>
          <w:rFonts w:ascii="Times New Roman" w:hAnsi="Times New Roman"/>
          <w:sz w:val="24"/>
          <w:szCs w:val="24"/>
        </w:rPr>
        <w:t xml:space="preserve">   </w:t>
      </w:r>
      <w:r w:rsidRPr="008F082A">
        <w:rPr>
          <w:rFonts w:ascii="Times New Roman" w:hAnsi="Times New Roman"/>
          <w:sz w:val="24"/>
          <w:szCs w:val="24"/>
        </w:rPr>
        <w:t>The primary outcome was the number of patients who received counseling from a pharmacist. Secondary outcomes include mean face-to-face time spent with the patient, additional interventions made because of pharmacist counseling, and the day of therapy that counseling was completed.</w:t>
      </w:r>
    </w:p>
    <w:p w14:paraId="5415DD73" w14:textId="77777777" w:rsidR="00A6323F" w:rsidRPr="00171D77" w:rsidRDefault="00A6323F" w:rsidP="00A6323F">
      <w:pPr>
        <w:spacing w:before="200" w:after="120"/>
        <w:rPr>
          <w:rFonts w:ascii="Times New Roman" w:hAnsi="Times New Roman"/>
          <w:b/>
          <w:i/>
          <w:iCs/>
          <w:sz w:val="24"/>
          <w:szCs w:val="20"/>
        </w:rPr>
      </w:pPr>
      <w:r w:rsidRPr="00171D77">
        <w:rPr>
          <w:rFonts w:ascii="Times New Roman" w:hAnsi="Times New Roman"/>
          <w:b/>
          <w:i/>
          <w:iCs/>
          <w:sz w:val="24"/>
          <w:szCs w:val="20"/>
        </w:rPr>
        <w:t>3.1 Data Collection</w:t>
      </w:r>
    </w:p>
    <w:p w14:paraId="65DD6EE0" w14:textId="5671F6A2" w:rsidR="00A6323F" w:rsidRPr="00171D77" w:rsidRDefault="00A6323F" w:rsidP="00A6323F">
      <w:pPr>
        <w:spacing w:after="0"/>
        <w:ind w:firstLine="230"/>
        <w:jc w:val="both"/>
        <w:rPr>
          <w:rFonts w:ascii="Times New Roman" w:hAnsi="Times New Roman"/>
          <w:sz w:val="24"/>
          <w:szCs w:val="24"/>
        </w:rPr>
      </w:pPr>
      <w:r w:rsidRPr="00171D77">
        <w:rPr>
          <w:rFonts w:ascii="Times New Roman" w:hAnsi="Times New Roman"/>
          <w:sz w:val="24"/>
          <w:szCs w:val="24"/>
        </w:rPr>
        <w:t xml:space="preserve">Data was collected via the electronic medical record and included demographics such as age, sex, and race, oncologic diagnoses, chemotherapy regimens including medication name, route, dose, frequency, and duration, and chemotherapy counseling interventions opened and documented by the performing pharmacist.  </w:t>
      </w:r>
    </w:p>
    <w:p w14:paraId="1B722033" w14:textId="77777777" w:rsidR="00A6323F" w:rsidRDefault="00A6323F" w:rsidP="00A6323F">
      <w:pPr>
        <w:spacing w:before="200" w:after="120"/>
        <w:rPr>
          <w:rFonts w:ascii="Times New Roman" w:hAnsi="Times New Roman"/>
          <w:b/>
          <w:i/>
          <w:iCs/>
          <w:sz w:val="24"/>
          <w:szCs w:val="20"/>
        </w:rPr>
      </w:pPr>
      <w:r w:rsidRPr="00A26DA4">
        <w:rPr>
          <w:rFonts w:ascii="Times New Roman" w:hAnsi="Times New Roman"/>
          <w:b/>
          <w:i/>
          <w:iCs/>
          <w:sz w:val="24"/>
          <w:szCs w:val="20"/>
        </w:rPr>
        <w:lastRenderedPageBreak/>
        <w:t>2.2 Data Analysis</w:t>
      </w:r>
    </w:p>
    <w:p w14:paraId="67103F33" w14:textId="28934055" w:rsidR="00A6323F" w:rsidRPr="00A6323F" w:rsidRDefault="00A6323F" w:rsidP="00A6323F">
      <w:pPr>
        <w:spacing w:before="200" w:after="120"/>
        <w:rPr>
          <w:rFonts w:ascii="Times New Roman" w:hAnsi="Times New Roman"/>
          <w:b/>
          <w:i/>
          <w:iCs/>
          <w:sz w:val="24"/>
          <w:szCs w:val="20"/>
        </w:rPr>
      </w:pPr>
      <w:r>
        <w:rPr>
          <w:rFonts w:ascii="Times New Roman" w:hAnsi="Times New Roman"/>
          <w:b/>
          <w:i/>
          <w:iCs/>
          <w:sz w:val="24"/>
          <w:szCs w:val="20"/>
        </w:rPr>
        <w:t xml:space="preserve">   </w:t>
      </w:r>
      <w:r w:rsidRPr="00A26DA4">
        <w:rPr>
          <w:rFonts w:ascii="Times New Roman" w:hAnsi="Times New Roman"/>
          <w:sz w:val="24"/>
          <w:szCs w:val="24"/>
        </w:rPr>
        <w:t xml:space="preserve">There was no comparison period. Descriptive statistics, including percentages, means, and medians were used to describe data. </w:t>
      </w:r>
    </w:p>
    <w:p w14:paraId="52D812A6" w14:textId="77777777" w:rsidR="00A6323F" w:rsidRDefault="00A6323F" w:rsidP="00A6323F">
      <w:pPr>
        <w:spacing w:before="200" w:after="120"/>
        <w:rPr>
          <w:rFonts w:ascii="Times New Roman" w:hAnsi="Times New Roman"/>
          <w:b/>
          <w:sz w:val="28"/>
        </w:rPr>
      </w:pPr>
      <w:r>
        <w:rPr>
          <w:rFonts w:ascii="Times New Roman" w:hAnsi="Times New Roman"/>
          <w:b/>
          <w:sz w:val="28"/>
        </w:rPr>
        <w:t>4</w:t>
      </w:r>
      <w:r w:rsidRPr="00A76F26">
        <w:rPr>
          <w:rFonts w:ascii="Times New Roman" w:hAnsi="Times New Roman"/>
          <w:b/>
          <w:sz w:val="28"/>
        </w:rPr>
        <w:t>. Results</w:t>
      </w:r>
    </w:p>
    <w:p w14:paraId="6C3C6E80" w14:textId="7B7B63DD" w:rsidR="00A6323F" w:rsidRPr="00A6323F" w:rsidRDefault="00A6323F" w:rsidP="00A6323F">
      <w:pPr>
        <w:spacing w:before="200" w:after="120"/>
        <w:rPr>
          <w:rFonts w:ascii="Times New Roman" w:hAnsi="Times New Roman"/>
          <w:b/>
          <w:sz w:val="28"/>
        </w:rPr>
      </w:pPr>
      <w:r>
        <w:rPr>
          <w:rFonts w:ascii="Times New Roman" w:hAnsi="Times New Roman"/>
          <w:b/>
          <w:sz w:val="28"/>
        </w:rPr>
        <w:t xml:space="preserve">   </w:t>
      </w:r>
      <w:r w:rsidRPr="00A76F26">
        <w:rPr>
          <w:rFonts w:ascii="Times New Roman" w:hAnsi="Times New Roman"/>
          <w:sz w:val="24"/>
          <w:szCs w:val="24"/>
        </w:rPr>
        <w:t xml:space="preserve">Of the 45 patients who met criteria, 44 were included. </w:t>
      </w:r>
      <w:r w:rsidR="008718F0">
        <w:rPr>
          <w:rFonts w:ascii="Times New Roman" w:hAnsi="Times New Roman"/>
          <w:sz w:val="24"/>
          <w:szCs w:val="24"/>
        </w:rPr>
        <w:t>One</w:t>
      </w:r>
      <w:r w:rsidRPr="00A76F26">
        <w:rPr>
          <w:rFonts w:ascii="Times New Roman" w:hAnsi="Times New Roman"/>
          <w:sz w:val="24"/>
          <w:szCs w:val="24"/>
        </w:rPr>
        <w:t xml:space="preserve"> patient was excluded due to chemotherapy being initiated on a floor other than the cancer nursing unit. </w:t>
      </w:r>
    </w:p>
    <w:p w14:paraId="695E6272" w14:textId="77777777" w:rsidR="00A6323F" w:rsidRDefault="00A6323F" w:rsidP="00A6323F">
      <w:pPr>
        <w:spacing w:before="200" w:after="120"/>
        <w:rPr>
          <w:rFonts w:ascii="Times New Roman" w:hAnsi="Times New Roman"/>
          <w:b/>
          <w:i/>
          <w:iCs/>
          <w:sz w:val="24"/>
          <w:szCs w:val="20"/>
        </w:rPr>
      </w:pPr>
      <w:r w:rsidRPr="001730FA">
        <w:rPr>
          <w:rFonts w:ascii="Times New Roman" w:hAnsi="Times New Roman"/>
          <w:b/>
          <w:i/>
          <w:iCs/>
          <w:sz w:val="24"/>
          <w:szCs w:val="20"/>
        </w:rPr>
        <w:t>4.1 Characteristics</w:t>
      </w:r>
    </w:p>
    <w:p w14:paraId="7970F007" w14:textId="0D2D50D7" w:rsidR="00A6323F" w:rsidRPr="00A6323F" w:rsidRDefault="00A6323F" w:rsidP="00A6323F">
      <w:pPr>
        <w:spacing w:before="200" w:after="120"/>
        <w:rPr>
          <w:rFonts w:ascii="Times New Roman" w:hAnsi="Times New Roman"/>
          <w:sz w:val="24"/>
          <w:szCs w:val="24"/>
        </w:rPr>
      </w:pPr>
      <w:r>
        <w:rPr>
          <w:rFonts w:ascii="Times New Roman" w:hAnsi="Times New Roman"/>
          <w:b/>
          <w:i/>
          <w:iCs/>
          <w:sz w:val="24"/>
          <w:szCs w:val="20"/>
        </w:rPr>
        <w:t xml:space="preserve">   </w:t>
      </w:r>
      <w:r>
        <w:rPr>
          <w:rFonts w:ascii="Times New Roman" w:hAnsi="Times New Roman"/>
          <w:sz w:val="24"/>
          <w:szCs w:val="24"/>
        </w:rPr>
        <w:t xml:space="preserve">Baseline characteristics are described in table 2. The average age was 58, 47.7% were female, and 88.6% spoke English as their primary language. The only other primary language spoken was Spanish. </w:t>
      </w:r>
      <w:r>
        <w:rPr>
          <w:rFonts w:ascii="Times New Roman" w:hAnsi="Times New Roman"/>
          <w:b/>
          <w:i/>
          <w:iCs/>
          <w:sz w:val="24"/>
          <w:szCs w:val="20"/>
        </w:rPr>
        <w:br/>
        <w:t xml:space="preserve">   </w:t>
      </w:r>
      <w:r w:rsidRPr="002D2899">
        <w:rPr>
          <w:rFonts w:ascii="Times New Roman" w:hAnsi="Times New Roman"/>
          <w:sz w:val="24"/>
          <w:szCs w:val="24"/>
        </w:rPr>
        <w:t xml:space="preserve">The antineoplastic indications are described in table </w:t>
      </w:r>
      <w:r>
        <w:rPr>
          <w:rFonts w:ascii="Times New Roman" w:hAnsi="Times New Roman"/>
          <w:sz w:val="24"/>
          <w:szCs w:val="24"/>
        </w:rPr>
        <w:t>3</w:t>
      </w:r>
      <w:r w:rsidRPr="002D2899">
        <w:rPr>
          <w:rFonts w:ascii="Times New Roman" w:hAnsi="Times New Roman"/>
          <w:sz w:val="24"/>
          <w:szCs w:val="24"/>
        </w:rPr>
        <w:t>. The most common group of malignancies were hematological, with 61.3% of patients. The most common overall diagnosis was acute myeloid leukemia, with 13.6% of patients overall.</w:t>
      </w:r>
      <w:r>
        <w:rPr>
          <w:rFonts w:ascii="Times New Roman" w:hAnsi="Times New Roman"/>
          <w:sz w:val="24"/>
          <w:szCs w:val="24"/>
        </w:rPr>
        <w:br/>
        <w:t xml:space="preserve">   The regimens counselled on are described in table 4 and 5. These are broken down based on the availability of full-regimen resources.</w:t>
      </w:r>
      <w:r w:rsidR="008718F0">
        <w:rPr>
          <w:rFonts w:ascii="Times New Roman" w:hAnsi="Times New Roman"/>
          <w:sz w:val="24"/>
          <w:szCs w:val="24"/>
        </w:rPr>
        <w:t xml:space="preserve"> Of all regimens in this study,</w:t>
      </w:r>
      <w:r>
        <w:rPr>
          <w:rFonts w:ascii="Times New Roman" w:hAnsi="Times New Roman"/>
          <w:sz w:val="24"/>
          <w:szCs w:val="24"/>
        </w:rPr>
        <w:t xml:space="preserve"> 48% study had full-regimen resources available. The most frequently reported regimen was carboplatin + etoposide </w:t>
      </w:r>
      <w:r>
        <w:rPr>
          <w:rFonts w:ascii="Times New Roman" w:hAnsi="Times New Roman"/>
          <w:sz w:val="24"/>
          <w:szCs w:val="24"/>
          <w:u w:val="single"/>
        </w:rPr>
        <w:t>+</w:t>
      </w:r>
      <w:r>
        <w:rPr>
          <w:rFonts w:ascii="Times New Roman" w:hAnsi="Times New Roman"/>
          <w:sz w:val="24"/>
          <w:szCs w:val="24"/>
        </w:rPr>
        <w:t xml:space="preserve"> an additional agent, which did not have a full regimen resource available. Other frequently reported regimens included rituximab, cyclophosphamide, doxorubicin, vincristine, prednisone (R-CHOP) and derivatives, and cyclophosphamide, bortezomib, and dexamethasone (</w:t>
      </w:r>
      <w:proofErr w:type="spellStart"/>
      <w:r>
        <w:rPr>
          <w:rFonts w:ascii="Times New Roman" w:hAnsi="Times New Roman"/>
          <w:sz w:val="24"/>
          <w:szCs w:val="24"/>
        </w:rPr>
        <w:t>CyBorD</w:t>
      </w:r>
      <w:proofErr w:type="spellEnd"/>
      <w:r>
        <w:rPr>
          <w:rFonts w:ascii="Times New Roman" w:hAnsi="Times New Roman"/>
          <w:sz w:val="24"/>
          <w:szCs w:val="24"/>
        </w:rPr>
        <w:t xml:space="preserve">). </w:t>
      </w:r>
    </w:p>
    <w:p w14:paraId="7CB52A3C" w14:textId="77777777" w:rsidR="00A6323F" w:rsidRDefault="00A6323F" w:rsidP="00A6323F">
      <w:pPr>
        <w:spacing w:after="0"/>
        <w:ind w:firstLine="230"/>
        <w:jc w:val="both"/>
        <w:rPr>
          <w:rFonts w:ascii="Times New Roman" w:hAnsi="Times New Roman"/>
          <w:sz w:val="24"/>
          <w:szCs w:val="24"/>
        </w:rPr>
      </w:pPr>
    </w:p>
    <w:tbl>
      <w:tblPr>
        <w:tblStyle w:val="TableGrid"/>
        <w:tblW w:w="0" w:type="auto"/>
        <w:tblLook w:val="04A0" w:firstRow="1" w:lastRow="0" w:firstColumn="1" w:lastColumn="0" w:noHBand="0" w:noVBand="1"/>
      </w:tblPr>
      <w:tblGrid>
        <w:gridCol w:w="2410"/>
        <w:gridCol w:w="2411"/>
      </w:tblGrid>
      <w:tr w:rsidR="00A6323F" w14:paraId="33FB211E" w14:textId="77777777" w:rsidTr="00B62A19">
        <w:tc>
          <w:tcPr>
            <w:tcW w:w="2410" w:type="dxa"/>
            <w:vAlign w:val="bottom"/>
          </w:tcPr>
          <w:p w14:paraId="4D223D00" w14:textId="77777777" w:rsidR="00A6323F" w:rsidRPr="00943416" w:rsidRDefault="00A6323F" w:rsidP="00B62A19">
            <w:pPr>
              <w:spacing w:after="0"/>
              <w:jc w:val="both"/>
              <w:rPr>
                <w:rFonts w:ascii="Times New Roman" w:hAnsi="Times New Roman"/>
                <w:b/>
                <w:bCs/>
                <w:sz w:val="24"/>
                <w:szCs w:val="24"/>
              </w:rPr>
            </w:pPr>
            <w:r w:rsidRPr="00943416">
              <w:rPr>
                <w:rFonts w:ascii="Times New Roman" w:hAnsi="Times New Roman"/>
                <w:b/>
                <w:bCs/>
                <w:sz w:val="24"/>
                <w:szCs w:val="24"/>
              </w:rPr>
              <w:t>Characteristic</w:t>
            </w:r>
          </w:p>
        </w:tc>
        <w:tc>
          <w:tcPr>
            <w:tcW w:w="2411" w:type="dxa"/>
            <w:vAlign w:val="bottom"/>
          </w:tcPr>
          <w:p w14:paraId="358B16EC" w14:textId="77777777" w:rsidR="00A6323F" w:rsidRPr="00943416" w:rsidRDefault="00A6323F" w:rsidP="00B62A19">
            <w:pPr>
              <w:spacing w:after="0"/>
              <w:jc w:val="both"/>
              <w:rPr>
                <w:rFonts w:ascii="Times New Roman" w:hAnsi="Times New Roman"/>
                <w:b/>
                <w:bCs/>
                <w:sz w:val="24"/>
                <w:szCs w:val="24"/>
              </w:rPr>
            </w:pPr>
            <w:r w:rsidRPr="00943416">
              <w:rPr>
                <w:rFonts w:ascii="Times New Roman" w:hAnsi="Times New Roman"/>
                <w:b/>
                <w:bCs/>
                <w:sz w:val="24"/>
                <w:szCs w:val="24"/>
              </w:rPr>
              <w:t>N = 44</w:t>
            </w:r>
          </w:p>
        </w:tc>
      </w:tr>
      <w:tr w:rsidR="00A6323F" w14:paraId="23B7981E" w14:textId="77777777" w:rsidTr="00B62A19">
        <w:tc>
          <w:tcPr>
            <w:tcW w:w="2410" w:type="dxa"/>
            <w:vAlign w:val="bottom"/>
          </w:tcPr>
          <w:p w14:paraId="44325D61"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Average age (years)</w:t>
            </w:r>
          </w:p>
        </w:tc>
        <w:tc>
          <w:tcPr>
            <w:tcW w:w="2411" w:type="dxa"/>
            <w:vAlign w:val="bottom"/>
          </w:tcPr>
          <w:p w14:paraId="5B353824"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58</w:t>
            </w:r>
          </w:p>
        </w:tc>
      </w:tr>
      <w:tr w:rsidR="00A6323F" w14:paraId="1320C970" w14:textId="77777777" w:rsidTr="00B62A19">
        <w:tc>
          <w:tcPr>
            <w:tcW w:w="2410" w:type="dxa"/>
            <w:vAlign w:val="bottom"/>
          </w:tcPr>
          <w:p w14:paraId="555384F9"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Male, n (%)</w:t>
            </w:r>
          </w:p>
        </w:tc>
        <w:tc>
          <w:tcPr>
            <w:tcW w:w="2411" w:type="dxa"/>
            <w:vAlign w:val="bottom"/>
          </w:tcPr>
          <w:p w14:paraId="002128A4"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23 (52</w:t>
            </w:r>
            <w:r>
              <w:rPr>
                <w:rFonts w:ascii="Times New Roman" w:hAnsi="Times New Roman"/>
                <w:sz w:val="24"/>
                <w:szCs w:val="24"/>
              </w:rPr>
              <w:t>.3</w:t>
            </w:r>
            <w:r w:rsidRPr="00D93543">
              <w:rPr>
                <w:rFonts w:ascii="Times New Roman" w:hAnsi="Times New Roman"/>
                <w:sz w:val="24"/>
                <w:szCs w:val="24"/>
              </w:rPr>
              <w:t>)</w:t>
            </w:r>
          </w:p>
        </w:tc>
      </w:tr>
      <w:tr w:rsidR="00A6323F" w14:paraId="32E9E6F6" w14:textId="77777777" w:rsidTr="00B62A19">
        <w:tc>
          <w:tcPr>
            <w:tcW w:w="2410" w:type="dxa"/>
            <w:vAlign w:val="bottom"/>
          </w:tcPr>
          <w:p w14:paraId="6BDC8775"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 xml:space="preserve">Female, n (%) </w:t>
            </w:r>
          </w:p>
        </w:tc>
        <w:tc>
          <w:tcPr>
            <w:tcW w:w="2411" w:type="dxa"/>
            <w:vAlign w:val="bottom"/>
          </w:tcPr>
          <w:p w14:paraId="06457D70"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21 (4</w:t>
            </w:r>
            <w:r>
              <w:rPr>
                <w:rFonts w:ascii="Times New Roman" w:hAnsi="Times New Roman"/>
                <w:sz w:val="24"/>
                <w:szCs w:val="24"/>
              </w:rPr>
              <w:t>7.7</w:t>
            </w:r>
            <w:r w:rsidRPr="00D93543">
              <w:rPr>
                <w:rFonts w:ascii="Times New Roman" w:hAnsi="Times New Roman"/>
                <w:sz w:val="24"/>
                <w:szCs w:val="24"/>
              </w:rPr>
              <w:t>)</w:t>
            </w:r>
          </w:p>
        </w:tc>
      </w:tr>
      <w:tr w:rsidR="00A6323F" w14:paraId="388D0A4A" w14:textId="77777777" w:rsidTr="00B62A19">
        <w:tc>
          <w:tcPr>
            <w:tcW w:w="2410" w:type="dxa"/>
            <w:vAlign w:val="bottom"/>
          </w:tcPr>
          <w:p w14:paraId="524E4AD3"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 xml:space="preserve">English speakers, n (%) </w:t>
            </w:r>
          </w:p>
        </w:tc>
        <w:tc>
          <w:tcPr>
            <w:tcW w:w="2411" w:type="dxa"/>
            <w:vAlign w:val="bottom"/>
          </w:tcPr>
          <w:p w14:paraId="20996A3B"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39 (8</w:t>
            </w:r>
            <w:r>
              <w:rPr>
                <w:rFonts w:ascii="Times New Roman" w:hAnsi="Times New Roman"/>
                <w:sz w:val="24"/>
                <w:szCs w:val="24"/>
              </w:rPr>
              <w:t>8.6</w:t>
            </w:r>
            <w:r w:rsidRPr="00D93543">
              <w:rPr>
                <w:rFonts w:ascii="Times New Roman" w:hAnsi="Times New Roman"/>
                <w:sz w:val="24"/>
                <w:szCs w:val="24"/>
              </w:rPr>
              <w:t>)</w:t>
            </w:r>
          </w:p>
        </w:tc>
      </w:tr>
      <w:tr w:rsidR="00A6323F" w14:paraId="3FA08D0E" w14:textId="77777777" w:rsidTr="00B62A19">
        <w:tc>
          <w:tcPr>
            <w:tcW w:w="2410" w:type="dxa"/>
            <w:vAlign w:val="bottom"/>
          </w:tcPr>
          <w:p w14:paraId="15D07CD8"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 xml:space="preserve">Spanish speakers, n (%) </w:t>
            </w:r>
          </w:p>
        </w:tc>
        <w:tc>
          <w:tcPr>
            <w:tcW w:w="2411" w:type="dxa"/>
            <w:vAlign w:val="bottom"/>
          </w:tcPr>
          <w:p w14:paraId="7A523AA4" w14:textId="77777777" w:rsidR="00A6323F" w:rsidRPr="00D93543" w:rsidRDefault="00A6323F" w:rsidP="00B62A19">
            <w:pPr>
              <w:spacing w:after="0"/>
              <w:jc w:val="both"/>
              <w:rPr>
                <w:rFonts w:ascii="Times New Roman" w:hAnsi="Times New Roman"/>
                <w:sz w:val="24"/>
                <w:szCs w:val="24"/>
              </w:rPr>
            </w:pPr>
            <w:r w:rsidRPr="00D93543">
              <w:rPr>
                <w:rFonts w:ascii="Times New Roman" w:hAnsi="Times New Roman"/>
                <w:sz w:val="24"/>
                <w:szCs w:val="24"/>
              </w:rPr>
              <w:t>5 (11</w:t>
            </w:r>
            <w:r>
              <w:rPr>
                <w:rFonts w:ascii="Times New Roman" w:hAnsi="Times New Roman"/>
                <w:sz w:val="24"/>
                <w:szCs w:val="24"/>
              </w:rPr>
              <w:t>.4</w:t>
            </w:r>
            <w:r w:rsidRPr="00D93543">
              <w:rPr>
                <w:rFonts w:ascii="Times New Roman" w:hAnsi="Times New Roman"/>
                <w:sz w:val="24"/>
                <w:szCs w:val="24"/>
              </w:rPr>
              <w:t>)</w:t>
            </w:r>
          </w:p>
        </w:tc>
      </w:tr>
    </w:tbl>
    <w:p w14:paraId="0D502615" w14:textId="77777777" w:rsidR="00A6323F" w:rsidRPr="00B7665D" w:rsidRDefault="00A6323F" w:rsidP="00A6323F">
      <w:pPr>
        <w:rPr>
          <w:rFonts w:ascii="Times New Roman" w:hAnsi="Times New Roman"/>
          <w:i/>
          <w:iCs/>
          <w:sz w:val="24"/>
          <w:szCs w:val="24"/>
        </w:rPr>
      </w:pPr>
      <w:r w:rsidRPr="001730FA">
        <w:rPr>
          <w:rFonts w:ascii="Times New Roman" w:hAnsi="Times New Roman"/>
          <w:i/>
          <w:iCs/>
          <w:sz w:val="24"/>
          <w:szCs w:val="24"/>
        </w:rPr>
        <w:t xml:space="preserve">Table 2: Baseline characteristics of patients </w:t>
      </w:r>
    </w:p>
    <w:tbl>
      <w:tblPr>
        <w:tblStyle w:val="TableGrid"/>
        <w:tblW w:w="0" w:type="auto"/>
        <w:tblLook w:val="04A0" w:firstRow="1" w:lastRow="0" w:firstColumn="1" w:lastColumn="0" w:noHBand="0" w:noVBand="1"/>
      </w:tblPr>
      <w:tblGrid>
        <w:gridCol w:w="2869"/>
        <w:gridCol w:w="1952"/>
      </w:tblGrid>
      <w:tr w:rsidR="00A6323F" w14:paraId="0A25CF6B" w14:textId="77777777" w:rsidTr="00B62A19">
        <w:tc>
          <w:tcPr>
            <w:tcW w:w="2869" w:type="dxa"/>
            <w:vAlign w:val="bottom"/>
          </w:tcPr>
          <w:p w14:paraId="56D1BEDB" w14:textId="77777777" w:rsidR="00A6323F" w:rsidRPr="00943416" w:rsidRDefault="00A6323F" w:rsidP="00B62A19">
            <w:pPr>
              <w:spacing w:after="0"/>
              <w:jc w:val="both"/>
              <w:rPr>
                <w:rFonts w:ascii="Times New Roman" w:hAnsi="Times New Roman"/>
                <w:b/>
                <w:bCs/>
                <w:sz w:val="24"/>
                <w:szCs w:val="24"/>
              </w:rPr>
            </w:pPr>
            <w:r w:rsidRPr="00943416">
              <w:rPr>
                <w:rFonts w:ascii="Times New Roman" w:hAnsi="Times New Roman"/>
                <w:b/>
                <w:bCs/>
                <w:sz w:val="24"/>
                <w:szCs w:val="24"/>
              </w:rPr>
              <w:t>Oncologic diagnosis</w:t>
            </w:r>
          </w:p>
        </w:tc>
        <w:tc>
          <w:tcPr>
            <w:tcW w:w="1952" w:type="dxa"/>
            <w:vAlign w:val="bottom"/>
          </w:tcPr>
          <w:p w14:paraId="4793BF7C" w14:textId="77777777" w:rsidR="00A6323F" w:rsidRPr="00943416" w:rsidRDefault="00A6323F" w:rsidP="00B62A19">
            <w:pPr>
              <w:spacing w:after="0"/>
              <w:jc w:val="both"/>
              <w:rPr>
                <w:rFonts w:ascii="Times New Roman" w:hAnsi="Times New Roman"/>
                <w:b/>
                <w:bCs/>
                <w:sz w:val="24"/>
                <w:szCs w:val="24"/>
              </w:rPr>
            </w:pPr>
            <w:r w:rsidRPr="00943416">
              <w:rPr>
                <w:rFonts w:ascii="Times New Roman" w:hAnsi="Times New Roman"/>
                <w:b/>
                <w:bCs/>
                <w:sz w:val="24"/>
                <w:szCs w:val="24"/>
              </w:rPr>
              <w:t>N = 44</w:t>
            </w:r>
          </w:p>
        </w:tc>
      </w:tr>
      <w:tr w:rsidR="00A6323F" w14:paraId="4A265658" w14:textId="77777777" w:rsidTr="00B62A19">
        <w:tc>
          <w:tcPr>
            <w:tcW w:w="2869" w:type="dxa"/>
            <w:vAlign w:val="bottom"/>
          </w:tcPr>
          <w:p w14:paraId="6792E767"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Hematological malignancy, n (%)</w:t>
            </w:r>
          </w:p>
        </w:tc>
        <w:tc>
          <w:tcPr>
            <w:tcW w:w="1952" w:type="dxa"/>
            <w:vAlign w:val="bottom"/>
          </w:tcPr>
          <w:p w14:paraId="09C448B7"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27 (61</w:t>
            </w:r>
            <w:r>
              <w:rPr>
                <w:rFonts w:ascii="Times New Roman" w:hAnsi="Times New Roman"/>
                <w:sz w:val="24"/>
                <w:szCs w:val="24"/>
              </w:rPr>
              <w:t>.3</w:t>
            </w:r>
            <w:r w:rsidRPr="00B15835">
              <w:rPr>
                <w:rFonts w:ascii="Times New Roman" w:hAnsi="Times New Roman"/>
                <w:sz w:val="24"/>
                <w:szCs w:val="24"/>
              </w:rPr>
              <w:t>)</w:t>
            </w:r>
          </w:p>
        </w:tc>
      </w:tr>
      <w:tr w:rsidR="00A6323F" w14:paraId="754F3250" w14:textId="77777777" w:rsidTr="00B62A19">
        <w:tc>
          <w:tcPr>
            <w:tcW w:w="2869" w:type="dxa"/>
            <w:vAlign w:val="bottom"/>
          </w:tcPr>
          <w:p w14:paraId="3BCB3AD9"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Lung, n (%)</w:t>
            </w:r>
          </w:p>
        </w:tc>
        <w:tc>
          <w:tcPr>
            <w:tcW w:w="1952" w:type="dxa"/>
            <w:vAlign w:val="bottom"/>
          </w:tcPr>
          <w:p w14:paraId="7E9D583E"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6 (1</w:t>
            </w:r>
            <w:r>
              <w:rPr>
                <w:rFonts w:ascii="Times New Roman" w:hAnsi="Times New Roman"/>
                <w:sz w:val="24"/>
                <w:szCs w:val="24"/>
              </w:rPr>
              <w:t>3.6</w:t>
            </w:r>
            <w:r w:rsidRPr="00B15835">
              <w:rPr>
                <w:rFonts w:ascii="Times New Roman" w:hAnsi="Times New Roman"/>
                <w:sz w:val="24"/>
                <w:szCs w:val="24"/>
              </w:rPr>
              <w:t>)</w:t>
            </w:r>
          </w:p>
        </w:tc>
      </w:tr>
      <w:tr w:rsidR="00A6323F" w14:paraId="71E31CC5" w14:textId="77777777" w:rsidTr="00B62A19">
        <w:tc>
          <w:tcPr>
            <w:tcW w:w="2869" w:type="dxa"/>
            <w:vAlign w:val="bottom"/>
          </w:tcPr>
          <w:p w14:paraId="7A4A2790"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Testicular, n (%)</w:t>
            </w:r>
          </w:p>
        </w:tc>
        <w:tc>
          <w:tcPr>
            <w:tcW w:w="1952" w:type="dxa"/>
            <w:vAlign w:val="bottom"/>
          </w:tcPr>
          <w:p w14:paraId="09DCACF0"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3 (</w:t>
            </w:r>
            <w:r>
              <w:rPr>
                <w:rFonts w:ascii="Times New Roman" w:hAnsi="Times New Roman"/>
                <w:sz w:val="24"/>
                <w:szCs w:val="24"/>
              </w:rPr>
              <w:t>6.8</w:t>
            </w:r>
            <w:r w:rsidRPr="00B15835">
              <w:rPr>
                <w:rFonts w:ascii="Times New Roman" w:hAnsi="Times New Roman"/>
                <w:sz w:val="24"/>
                <w:szCs w:val="24"/>
              </w:rPr>
              <w:t>)</w:t>
            </w:r>
          </w:p>
        </w:tc>
      </w:tr>
      <w:tr w:rsidR="00A6323F" w14:paraId="289C31E6" w14:textId="77777777" w:rsidTr="00B62A19">
        <w:tc>
          <w:tcPr>
            <w:tcW w:w="2869" w:type="dxa"/>
            <w:vAlign w:val="bottom"/>
          </w:tcPr>
          <w:p w14:paraId="30D3AA80"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Unknown primary, n (%)</w:t>
            </w:r>
          </w:p>
        </w:tc>
        <w:tc>
          <w:tcPr>
            <w:tcW w:w="1952" w:type="dxa"/>
            <w:vAlign w:val="bottom"/>
          </w:tcPr>
          <w:p w14:paraId="4340D0EF"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2 (</w:t>
            </w:r>
            <w:r>
              <w:rPr>
                <w:rFonts w:ascii="Times New Roman" w:hAnsi="Times New Roman"/>
                <w:sz w:val="24"/>
                <w:szCs w:val="24"/>
              </w:rPr>
              <w:t>4.5</w:t>
            </w:r>
            <w:r w:rsidRPr="00B15835">
              <w:rPr>
                <w:rFonts w:ascii="Times New Roman" w:hAnsi="Times New Roman"/>
                <w:sz w:val="24"/>
                <w:szCs w:val="24"/>
              </w:rPr>
              <w:t>)</w:t>
            </w:r>
          </w:p>
        </w:tc>
      </w:tr>
      <w:tr w:rsidR="00A6323F" w14:paraId="7F4C8931" w14:textId="77777777" w:rsidTr="00B62A19">
        <w:tc>
          <w:tcPr>
            <w:tcW w:w="2869" w:type="dxa"/>
            <w:vAlign w:val="bottom"/>
          </w:tcPr>
          <w:p w14:paraId="0B330C90"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Breast, n (%)</w:t>
            </w:r>
          </w:p>
        </w:tc>
        <w:tc>
          <w:tcPr>
            <w:tcW w:w="1952" w:type="dxa"/>
            <w:vAlign w:val="bottom"/>
          </w:tcPr>
          <w:p w14:paraId="4075B925"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2 (</w:t>
            </w:r>
            <w:r>
              <w:rPr>
                <w:rFonts w:ascii="Times New Roman" w:hAnsi="Times New Roman"/>
                <w:sz w:val="24"/>
                <w:szCs w:val="24"/>
              </w:rPr>
              <w:t>4.5</w:t>
            </w:r>
            <w:r w:rsidRPr="00B15835">
              <w:rPr>
                <w:rFonts w:ascii="Times New Roman" w:hAnsi="Times New Roman"/>
                <w:sz w:val="24"/>
                <w:szCs w:val="24"/>
              </w:rPr>
              <w:t>)</w:t>
            </w:r>
          </w:p>
        </w:tc>
      </w:tr>
      <w:tr w:rsidR="00A6323F" w14:paraId="449AD084" w14:textId="77777777" w:rsidTr="00B62A19">
        <w:tc>
          <w:tcPr>
            <w:tcW w:w="2869" w:type="dxa"/>
            <w:vAlign w:val="bottom"/>
          </w:tcPr>
          <w:p w14:paraId="36382B51"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Other, n (%)</w:t>
            </w:r>
          </w:p>
        </w:tc>
        <w:tc>
          <w:tcPr>
            <w:tcW w:w="1952" w:type="dxa"/>
            <w:vAlign w:val="bottom"/>
          </w:tcPr>
          <w:p w14:paraId="23E2887C"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1 (2</w:t>
            </w:r>
            <w:r>
              <w:rPr>
                <w:rFonts w:ascii="Times New Roman" w:hAnsi="Times New Roman"/>
                <w:sz w:val="24"/>
                <w:szCs w:val="24"/>
              </w:rPr>
              <w:t>.3</w:t>
            </w:r>
            <w:r w:rsidRPr="00B15835">
              <w:rPr>
                <w:rFonts w:ascii="Times New Roman" w:hAnsi="Times New Roman"/>
                <w:sz w:val="24"/>
                <w:szCs w:val="24"/>
              </w:rPr>
              <w:t>)</w:t>
            </w:r>
          </w:p>
        </w:tc>
      </w:tr>
      <w:tr w:rsidR="00A6323F" w14:paraId="4DD724CD" w14:textId="77777777" w:rsidTr="00B62A19">
        <w:tc>
          <w:tcPr>
            <w:tcW w:w="2869" w:type="dxa"/>
            <w:vAlign w:val="bottom"/>
          </w:tcPr>
          <w:p w14:paraId="023E3F22"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Gastrointestinal n (%)</w:t>
            </w:r>
          </w:p>
        </w:tc>
        <w:tc>
          <w:tcPr>
            <w:tcW w:w="1952" w:type="dxa"/>
            <w:vAlign w:val="bottom"/>
          </w:tcPr>
          <w:p w14:paraId="2908B366"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1 (2</w:t>
            </w:r>
            <w:r>
              <w:rPr>
                <w:rFonts w:ascii="Times New Roman" w:hAnsi="Times New Roman"/>
                <w:sz w:val="24"/>
                <w:szCs w:val="24"/>
              </w:rPr>
              <w:t>.3</w:t>
            </w:r>
            <w:r w:rsidRPr="00B15835">
              <w:rPr>
                <w:rFonts w:ascii="Times New Roman" w:hAnsi="Times New Roman"/>
                <w:sz w:val="24"/>
                <w:szCs w:val="24"/>
              </w:rPr>
              <w:t>)</w:t>
            </w:r>
          </w:p>
        </w:tc>
      </w:tr>
      <w:tr w:rsidR="00A6323F" w14:paraId="1606A3B9" w14:textId="77777777" w:rsidTr="00B62A19">
        <w:tc>
          <w:tcPr>
            <w:tcW w:w="2869" w:type="dxa"/>
            <w:vAlign w:val="bottom"/>
          </w:tcPr>
          <w:p w14:paraId="51ABA7A9"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Neuroendocrine, n (%)</w:t>
            </w:r>
          </w:p>
        </w:tc>
        <w:tc>
          <w:tcPr>
            <w:tcW w:w="1952" w:type="dxa"/>
            <w:vAlign w:val="bottom"/>
          </w:tcPr>
          <w:p w14:paraId="414BDA68"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1 (2</w:t>
            </w:r>
            <w:r>
              <w:rPr>
                <w:rFonts w:ascii="Times New Roman" w:hAnsi="Times New Roman"/>
                <w:sz w:val="24"/>
                <w:szCs w:val="24"/>
              </w:rPr>
              <w:t>.3</w:t>
            </w:r>
            <w:r w:rsidRPr="00B15835">
              <w:rPr>
                <w:rFonts w:ascii="Times New Roman" w:hAnsi="Times New Roman"/>
                <w:sz w:val="24"/>
                <w:szCs w:val="24"/>
              </w:rPr>
              <w:t>)</w:t>
            </w:r>
          </w:p>
        </w:tc>
      </w:tr>
      <w:tr w:rsidR="00A6323F" w14:paraId="78F86161" w14:textId="77777777" w:rsidTr="00B62A19">
        <w:tc>
          <w:tcPr>
            <w:tcW w:w="2869" w:type="dxa"/>
            <w:vAlign w:val="bottom"/>
          </w:tcPr>
          <w:p w14:paraId="17C39ED1"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 xml:space="preserve">Sarcoma, n (%) </w:t>
            </w:r>
          </w:p>
        </w:tc>
        <w:tc>
          <w:tcPr>
            <w:tcW w:w="1952" w:type="dxa"/>
            <w:vAlign w:val="bottom"/>
          </w:tcPr>
          <w:p w14:paraId="46B06AA7" w14:textId="77777777" w:rsidR="00A6323F" w:rsidRPr="00B15835" w:rsidRDefault="00A6323F" w:rsidP="00B62A19">
            <w:pPr>
              <w:spacing w:after="0"/>
              <w:jc w:val="both"/>
              <w:rPr>
                <w:rFonts w:ascii="Times New Roman" w:hAnsi="Times New Roman"/>
                <w:sz w:val="24"/>
                <w:szCs w:val="24"/>
              </w:rPr>
            </w:pPr>
            <w:r w:rsidRPr="00B15835">
              <w:rPr>
                <w:rFonts w:ascii="Times New Roman" w:hAnsi="Times New Roman"/>
                <w:sz w:val="24"/>
                <w:szCs w:val="24"/>
              </w:rPr>
              <w:t>1 (2</w:t>
            </w:r>
            <w:r>
              <w:rPr>
                <w:rFonts w:ascii="Times New Roman" w:hAnsi="Times New Roman"/>
                <w:sz w:val="24"/>
                <w:szCs w:val="24"/>
              </w:rPr>
              <w:t>.3</w:t>
            </w:r>
            <w:r w:rsidRPr="00B15835">
              <w:rPr>
                <w:rFonts w:ascii="Times New Roman" w:hAnsi="Times New Roman"/>
                <w:sz w:val="24"/>
                <w:szCs w:val="24"/>
              </w:rPr>
              <w:t>)</w:t>
            </w:r>
          </w:p>
        </w:tc>
      </w:tr>
    </w:tbl>
    <w:p w14:paraId="6BBCC8D6" w14:textId="77777777" w:rsidR="00A6323F" w:rsidRDefault="00A6323F" w:rsidP="00A6323F">
      <w:pPr>
        <w:rPr>
          <w:rFonts w:ascii="Times New Roman" w:hAnsi="Times New Roman"/>
          <w:i/>
          <w:iCs/>
          <w:sz w:val="24"/>
          <w:szCs w:val="24"/>
        </w:rPr>
      </w:pPr>
      <w:r w:rsidRPr="001730FA">
        <w:rPr>
          <w:rFonts w:ascii="Times New Roman" w:hAnsi="Times New Roman"/>
          <w:i/>
          <w:iCs/>
          <w:sz w:val="24"/>
          <w:szCs w:val="24"/>
        </w:rPr>
        <w:t xml:space="preserve">Table 3: Categories of oncologic diagnoses </w:t>
      </w:r>
    </w:p>
    <w:tbl>
      <w:tblPr>
        <w:tblStyle w:val="TableGrid"/>
        <w:tblW w:w="0" w:type="auto"/>
        <w:tblLook w:val="04A0" w:firstRow="1" w:lastRow="0" w:firstColumn="1" w:lastColumn="0" w:noHBand="0" w:noVBand="1"/>
      </w:tblPr>
      <w:tblGrid>
        <w:gridCol w:w="2893"/>
        <w:gridCol w:w="1928"/>
      </w:tblGrid>
      <w:tr w:rsidR="00A6323F" w14:paraId="1EDBB40F" w14:textId="77777777" w:rsidTr="00B62A19">
        <w:trPr>
          <w:trHeight w:val="485"/>
        </w:trPr>
        <w:tc>
          <w:tcPr>
            <w:tcW w:w="2893" w:type="dxa"/>
            <w:vAlign w:val="bottom"/>
          </w:tcPr>
          <w:p w14:paraId="4471AAA9" w14:textId="6F96F3D8" w:rsidR="00A6323F" w:rsidRPr="00B7665D" w:rsidRDefault="00A6323F" w:rsidP="00B62A19">
            <w:pPr>
              <w:rPr>
                <w:rFonts w:ascii="Times New Roman" w:hAnsi="Times New Roman"/>
                <w:b/>
                <w:bCs/>
                <w:sz w:val="24"/>
                <w:szCs w:val="24"/>
              </w:rPr>
            </w:pPr>
            <w:r w:rsidRPr="00B7665D">
              <w:rPr>
                <w:rFonts w:ascii="Times New Roman" w:hAnsi="Times New Roman"/>
                <w:b/>
                <w:bCs/>
                <w:sz w:val="24"/>
                <w:szCs w:val="24"/>
              </w:rPr>
              <w:t xml:space="preserve">Regimens with </w:t>
            </w:r>
            <w:r w:rsidR="00BA484B">
              <w:rPr>
                <w:rFonts w:ascii="Times New Roman" w:hAnsi="Times New Roman"/>
                <w:b/>
                <w:bCs/>
                <w:sz w:val="24"/>
                <w:szCs w:val="24"/>
              </w:rPr>
              <w:t>full regimen resource</w:t>
            </w:r>
            <w:r w:rsidRPr="00B7665D">
              <w:rPr>
                <w:rFonts w:ascii="Times New Roman" w:hAnsi="Times New Roman"/>
                <w:b/>
                <w:bCs/>
                <w:sz w:val="24"/>
                <w:szCs w:val="24"/>
              </w:rPr>
              <w:t xml:space="preserve"> available  </w:t>
            </w:r>
          </w:p>
        </w:tc>
        <w:tc>
          <w:tcPr>
            <w:tcW w:w="1928" w:type="dxa"/>
            <w:vAlign w:val="bottom"/>
          </w:tcPr>
          <w:p w14:paraId="57ACE50B" w14:textId="77777777" w:rsidR="00A6323F" w:rsidRPr="00B7665D" w:rsidRDefault="00A6323F" w:rsidP="00B62A19">
            <w:pPr>
              <w:rPr>
                <w:rFonts w:ascii="Times New Roman" w:hAnsi="Times New Roman"/>
                <w:b/>
                <w:bCs/>
                <w:sz w:val="24"/>
                <w:szCs w:val="24"/>
              </w:rPr>
            </w:pPr>
            <w:r w:rsidRPr="00B7665D">
              <w:rPr>
                <w:rFonts w:ascii="Times New Roman" w:hAnsi="Times New Roman"/>
                <w:b/>
                <w:bCs/>
                <w:sz w:val="24"/>
                <w:szCs w:val="24"/>
              </w:rPr>
              <w:t>n=21</w:t>
            </w:r>
          </w:p>
        </w:tc>
      </w:tr>
      <w:tr w:rsidR="00A6323F" w14:paraId="68D2587F" w14:textId="77777777" w:rsidTr="00B62A19">
        <w:tc>
          <w:tcPr>
            <w:tcW w:w="2893" w:type="dxa"/>
            <w:vAlign w:val="bottom"/>
          </w:tcPr>
          <w:p w14:paraId="6D976DDA"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Rituximab + cyclophosphamide + doxorubicin + vincristine + prednisone and derivatives, n (%)</w:t>
            </w:r>
          </w:p>
        </w:tc>
        <w:tc>
          <w:tcPr>
            <w:tcW w:w="1928" w:type="dxa"/>
            <w:vAlign w:val="bottom"/>
          </w:tcPr>
          <w:p w14:paraId="655E2C32"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5 (2</w:t>
            </w:r>
            <w:r>
              <w:rPr>
                <w:rFonts w:ascii="Times New Roman" w:hAnsi="Times New Roman"/>
                <w:sz w:val="24"/>
                <w:szCs w:val="24"/>
              </w:rPr>
              <w:t>3.8</w:t>
            </w:r>
            <w:r w:rsidRPr="00B7665D">
              <w:rPr>
                <w:rFonts w:ascii="Times New Roman" w:hAnsi="Times New Roman"/>
                <w:sz w:val="24"/>
                <w:szCs w:val="24"/>
              </w:rPr>
              <w:t>)</w:t>
            </w:r>
          </w:p>
        </w:tc>
      </w:tr>
      <w:tr w:rsidR="00A6323F" w14:paraId="429F73C9" w14:textId="77777777" w:rsidTr="00B62A19">
        <w:tc>
          <w:tcPr>
            <w:tcW w:w="2893" w:type="dxa"/>
            <w:vAlign w:val="bottom"/>
          </w:tcPr>
          <w:p w14:paraId="6899F446"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Cyclophosphamide + bortezomib + dexamethasone, n (%)</w:t>
            </w:r>
          </w:p>
        </w:tc>
        <w:tc>
          <w:tcPr>
            <w:tcW w:w="1928" w:type="dxa"/>
            <w:vAlign w:val="bottom"/>
          </w:tcPr>
          <w:p w14:paraId="753D1019"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4 (</w:t>
            </w:r>
            <w:r>
              <w:rPr>
                <w:rFonts w:ascii="Times New Roman" w:hAnsi="Times New Roman"/>
                <w:sz w:val="24"/>
                <w:szCs w:val="24"/>
              </w:rPr>
              <w:t>19.0</w:t>
            </w:r>
            <w:r w:rsidRPr="00B7665D">
              <w:rPr>
                <w:rFonts w:ascii="Times New Roman" w:hAnsi="Times New Roman"/>
                <w:sz w:val="24"/>
                <w:szCs w:val="24"/>
              </w:rPr>
              <w:t>)</w:t>
            </w:r>
          </w:p>
        </w:tc>
      </w:tr>
      <w:tr w:rsidR="00A6323F" w14:paraId="160015C3" w14:textId="77777777" w:rsidTr="00B62A19">
        <w:tc>
          <w:tcPr>
            <w:tcW w:w="2893" w:type="dxa"/>
            <w:vAlign w:val="bottom"/>
          </w:tcPr>
          <w:p w14:paraId="7A29C4A7"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 xml:space="preserve">Daunorubicin + </w:t>
            </w:r>
            <w:proofErr w:type="spellStart"/>
            <w:r w:rsidRPr="00B7665D">
              <w:rPr>
                <w:rFonts w:ascii="Times New Roman" w:hAnsi="Times New Roman"/>
                <w:sz w:val="24"/>
                <w:szCs w:val="24"/>
              </w:rPr>
              <w:t>cytarabine</w:t>
            </w:r>
            <w:proofErr w:type="spellEnd"/>
            <w:r w:rsidRPr="00B7665D">
              <w:rPr>
                <w:rFonts w:ascii="Times New Roman" w:hAnsi="Times New Roman"/>
                <w:sz w:val="24"/>
                <w:szCs w:val="24"/>
              </w:rPr>
              <w:t xml:space="preserve"> + </w:t>
            </w:r>
            <w:proofErr w:type="spellStart"/>
            <w:r w:rsidRPr="00B7665D">
              <w:rPr>
                <w:rFonts w:ascii="Times New Roman" w:hAnsi="Times New Roman"/>
                <w:sz w:val="24"/>
                <w:szCs w:val="24"/>
              </w:rPr>
              <w:t>gemtuzumab</w:t>
            </w:r>
            <w:proofErr w:type="spellEnd"/>
            <w:r w:rsidRPr="00B7665D">
              <w:rPr>
                <w:rFonts w:ascii="Times New Roman" w:hAnsi="Times New Roman"/>
                <w:sz w:val="24"/>
                <w:szCs w:val="24"/>
              </w:rPr>
              <w:t xml:space="preserve"> </w:t>
            </w:r>
            <w:proofErr w:type="spellStart"/>
            <w:r w:rsidRPr="00B7665D">
              <w:rPr>
                <w:rFonts w:ascii="Times New Roman" w:hAnsi="Times New Roman"/>
                <w:sz w:val="24"/>
                <w:szCs w:val="24"/>
              </w:rPr>
              <w:t>ozogamicin</w:t>
            </w:r>
            <w:proofErr w:type="spellEnd"/>
            <w:r w:rsidRPr="00B7665D">
              <w:rPr>
                <w:rFonts w:ascii="Times New Roman" w:hAnsi="Times New Roman"/>
                <w:sz w:val="24"/>
                <w:szCs w:val="24"/>
              </w:rPr>
              <w:t>, n (%)</w:t>
            </w:r>
          </w:p>
        </w:tc>
        <w:tc>
          <w:tcPr>
            <w:tcW w:w="1928" w:type="dxa"/>
            <w:vAlign w:val="bottom"/>
          </w:tcPr>
          <w:p w14:paraId="2F6A2451"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(9</w:t>
            </w:r>
            <w:r>
              <w:rPr>
                <w:rFonts w:ascii="Times New Roman" w:hAnsi="Times New Roman"/>
                <w:sz w:val="24"/>
                <w:szCs w:val="24"/>
              </w:rPr>
              <w:t>.5</w:t>
            </w:r>
            <w:r w:rsidRPr="00B7665D">
              <w:rPr>
                <w:rFonts w:ascii="Times New Roman" w:hAnsi="Times New Roman"/>
                <w:sz w:val="24"/>
                <w:szCs w:val="24"/>
              </w:rPr>
              <w:t>)</w:t>
            </w:r>
          </w:p>
        </w:tc>
      </w:tr>
      <w:tr w:rsidR="00A6323F" w14:paraId="02997E19" w14:textId="77777777" w:rsidTr="00B62A19">
        <w:tc>
          <w:tcPr>
            <w:tcW w:w="2893" w:type="dxa"/>
            <w:vAlign w:val="bottom"/>
          </w:tcPr>
          <w:p w14:paraId="1C4FA79E"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Rituximab + etoposide + prednisone + vincristine + cyclophosphamide + doxorubicin, n (%)</w:t>
            </w:r>
          </w:p>
        </w:tc>
        <w:tc>
          <w:tcPr>
            <w:tcW w:w="1928" w:type="dxa"/>
            <w:vAlign w:val="bottom"/>
          </w:tcPr>
          <w:p w14:paraId="36DE20B5"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(9</w:t>
            </w:r>
            <w:r>
              <w:rPr>
                <w:rFonts w:ascii="Times New Roman" w:hAnsi="Times New Roman"/>
                <w:sz w:val="24"/>
                <w:szCs w:val="24"/>
              </w:rPr>
              <w:t>.5</w:t>
            </w:r>
            <w:r w:rsidRPr="00B7665D">
              <w:rPr>
                <w:rFonts w:ascii="Times New Roman" w:hAnsi="Times New Roman"/>
                <w:sz w:val="24"/>
                <w:szCs w:val="24"/>
              </w:rPr>
              <w:t>)</w:t>
            </w:r>
          </w:p>
        </w:tc>
      </w:tr>
      <w:tr w:rsidR="00A6323F" w14:paraId="610D1828" w14:textId="77777777" w:rsidTr="00B62A19">
        <w:tc>
          <w:tcPr>
            <w:tcW w:w="2893" w:type="dxa"/>
            <w:vAlign w:val="bottom"/>
          </w:tcPr>
          <w:p w14:paraId="55873D5A" w14:textId="77777777" w:rsidR="00A6323F" w:rsidRPr="00B7665D" w:rsidRDefault="00A6323F" w:rsidP="00B62A19">
            <w:pPr>
              <w:rPr>
                <w:rFonts w:ascii="Times New Roman" w:hAnsi="Times New Roman"/>
                <w:sz w:val="24"/>
                <w:szCs w:val="24"/>
              </w:rPr>
            </w:pPr>
            <w:proofErr w:type="spellStart"/>
            <w:r w:rsidRPr="00B7665D">
              <w:rPr>
                <w:rFonts w:ascii="Times New Roman" w:hAnsi="Times New Roman"/>
                <w:sz w:val="24"/>
                <w:szCs w:val="24"/>
              </w:rPr>
              <w:t>Blinatumumab</w:t>
            </w:r>
            <w:proofErr w:type="spellEnd"/>
            <w:r w:rsidRPr="00B7665D">
              <w:rPr>
                <w:rFonts w:ascii="Times New Roman" w:hAnsi="Times New Roman"/>
                <w:sz w:val="24"/>
                <w:szCs w:val="24"/>
              </w:rPr>
              <w:t>, n (%)</w:t>
            </w:r>
          </w:p>
        </w:tc>
        <w:tc>
          <w:tcPr>
            <w:tcW w:w="1928" w:type="dxa"/>
            <w:vAlign w:val="bottom"/>
          </w:tcPr>
          <w:p w14:paraId="40498F59"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(9</w:t>
            </w:r>
            <w:r>
              <w:rPr>
                <w:rFonts w:ascii="Times New Roman" w:hAnsi="Times New Roman"/>
                <w:sz w:val="24"/>
                <w:szCs w:val="24"/>
              </w:rPr>
              <w:t>.5</w:t>
            </w:r>
            <w:r w:rsidRPr="00B7665D">
              <w:rPr>
                <w:rFonts w:ascii="Times New Roman" w:hAnsi="Times New Roman"/>
                <w:sz w:val="24"/>
                <w:szCs w:val="24"/>
              </w:rPr>
              <w:t>)</w:t>
            </w:r>
          </w:p>
        </w:tc>
      </w:tr>
      <w:tr w:rsidR="00A6323F" w14:paraId="275B3DA8" w14:textId="77777777" w:rsidTr="00B62A19">
        <w:tc>
          <w:tcPr>
            <w:tcW w:w="2893" w:type="dxa"/>
            <w:vAlign w:val="bottom"/>
          </w:tcPr>
          <w:p w14:paraId="4E6493AB"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Other regimens (single uses), n (%)</w:t>
            </w:r>
          </w:p>
        </w:tc>
        <w:tc>
          <w:tcPr>
            <w:tcW w:w="1928" w:type="dxa"/>
            <w:vAlign w:val="bottom"/>
          </w:tcPr>
          <w:p w14:paraId="0381D87F"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6 (2</w:t>
            </w:r>
            <w:r>
              <w:rPr>
                <w:rFonts w:ascii="Times New Roman" w:hAnsi="Times New Roman"/>
                <w:sz w:val="24"/>
                <w:szCs w:val="24"/>
              </w:rPr>
              <w:t>8.6</w:t>
            </w:r>
            <w:r w:rsidRPr="00B7665D">
              <w:rPr>
                <w:rFonts w:ascii="Times New Roman" w:hAnsi="Times New Roman"/>
                <w:sz w:val="24"/>
                <w:szCs w:val="24"/>
              </w:rPr>
              <w:t>)</w:t>
            </w:r>
          </w:p>
        </w:tc>
      </w:tr>
    </w:tbl>
    <w:p w14:paraId="72590E60" w14:textId="2E4AF155" w:rsidR="00A6323F" w:rsidRDefault="00A6323F" w:rsidP="00A6323F">
      <w:pPr>
        <w:rPr>
          <w:rFonts w:ascii="Times New Roman" w:hAnsi="Times New Roman"/>
          <w:i/>
          <w:iCs/>
          <w:sz w:val="24"/>
          <w:szCs w:val="24"/>
        </w:rPr>
      </w:pPr>
      <w:r w:rsidRPr="001730FA">
        <w:rPr>
          <w:rFonts w:ascii="Times New Roman" w:hAnsi="Times New Roman"/>
          <w:i/>
          <w:iCs/>
          <w:sz w:val="24"/>
          <w:szCs w:val="24"/>
        </w:rPr>
        <w:t xml:space="preserve">Table </w:t>
      </w:r>
      <w:r>
        <w:rPr>
          <w:rFonts w:ascii="Times New Roman" w:hAnsi="Times New Roman"/>
          <w:i/>
          <w:iCs/>
          <w:sz w:val="24"/>
          <w:szCs w:val="24"/>
        </w:rPr>
        <w:t>4</w:t>
      </w:r>
      <w:r w:rsidR="00BA484B">
        <w:rPr>
          <w:rFonts w:ascii="Times New Roman" w:hAnsi="Times New Roman"/>
          <w:i/>
          <w:iCs/>
          <w:sz w:val="24"/>
          <w:szCs w:val="24"/>
        </w:rPr>
        <w:t xml:space="preserve">: Regimens included with full regimen resources available </w:t>
      </w:r>
    </w:p>
    <w:tbl>
      <w:tblPr>
        <w:tblStyle w:val="TableGrid"/>
        <w:tblW w:w="0" w:type="auto"/>
        <w:tblLook w:val="04A0" w:firstRow="1" w:lastRow="0" w:firstColumn="1" w:lastColumn="0" w:noHBand="0" w:noVBand="1"/>
      </w:tblPr>
      <w:tblGrid>
        <w:gridCol w:w="2410"/>
        <w:gridCol w:w="2411"/>
      </w:tblGrid>
      <w:tr w:rsidR="00A6323F" w14:paraId="65E13830" w14:textId="77777777" w:rsidTr="00B62A19">
        <w:tc>
          <w:tcPr>
            <w:tcW w:w="2410" w:type="dxa"/>
            <w:vAlign w:val="bottom"/>
          </w:tcPr>
          <w:p w14:paraId="5D89697E" w14:textId="2758BB60" w:rsidR="00A6323F" w:rsidRPr="00B7665D" w:rsidRDefault="00A6323F" w:rsidP="00B62A19">
            <w:pPr>
              <w:rPr>
                <w:rFonts w:ascii="Times New Roman" w:hAnsi="Times New Roman"/>
                <w:b/>
                <w:bCs/>
                <w:sz w:val="24"/>
                <w:szCs w:val="24"/>
              </w:rPr>
            </w:pPr>
            <w:r w:rsidRPr="00B7665D">
              <w:rPr>
                <w:rFonts w:ascii="Times New Roman" w:hAnsi="Times New Roman"/>
                <w:b/>
                <w:bCs/>
                <w:sz w:val="24"/>
                <w:szCs w:val="24"/>
              </w:rPr>
              <w:lastRenderedPageBreak/>
              <w:t xml:space="preserve">Regimens without </w:t>
            </w:r>
            <w:r w:rsidR="00BA484B">
              <w:rPr>
                <w:rFonts w:ascii="Times New Roman" w:hAnsi="Times New Roman"/>
                <w:b/>
                <w:bCs/>
                <w:sz w:val="24"/>
                <w:szCs w:val="24"/>
              </w:rPr>
              <w:t>full regimen resource</w:t>
            </w:r>
            <w:r w:rsidRPr="00B7665D">
              <w:rPr>
                <w:rFonts w:ascii="Times New Roman" w:hAnsi="Times New Roman"/>
                <w:b/>
                <w:bCs/>
                <w:sz w:val="24"/>
                <w:szCs w:val="24"/>
              </w:rPr>
              <w:t xml:space="preserve"> available  </w:t>
            </w:r>
          </w:p>
        </w:tc>
        <w:tc>
          <w:tcPr>
            <w:tcW w:w="2411" w:type="dxa"/>
            <w:vAlign w:val="bottom"/>
          </w:tcPr>
          <w:p w14:paraId="7BA0E0E9" w14:textId="77777777" w:rsidR="00A6323F" w:rsidRPr="00B7665D" w:rsidRDefault="00A6323F" w:rsidP="00B62A19">
            <w:pPr>
              <w:rPr>
                <w:rFonts w:ascii="Times New Roman" w:hAnsi="Times New Roman"/>
                <w:b/>
                <w:bCs/>
                <w:sz w:val="24"/>
                <w:szCs w:val="24"/>
              </w:rPr>
            </w:pPr>
            <w:r w:rsidRPr="00B7665D">
              <w:rPr>
                <w:rFonts w:ascii="Times New Roman" w:hAnsi="Times New Roman"/>
                <w:b/>
                <w:bCs/>
                <w:sz w:val="24"/>
                <w:szCs w:val="24"/>
              </w:rPr>
              <w:t>n=23</w:t>
            </w:r>
          </w:p>
        </w:tc>
      </w:tr>
      <w:tr w:rsidR="00A6323F" w14:paraId="5A3B0B21" w14:textId="77777777" w:rsidTr="00B62A19">
        <w:tc>
          <w:tcPr>
            <w:tcW w:w="2410" w:type="dxa"/>
            <w:vAlign w:val="bottom"/>
          </w:tcPr>
          <w:p w14:paraId="0C3578DC"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Carboplatin + etoposide + additional agent, n (%)</w:t>
            </w:r>
          </w:p>
        </w:tc>
        <w:tc>
          <w:tcPr>
            <w:tcW w:w="2411" w:type="dxa"/>
            <w:vAlign w:val="bottom"/>
          </w:tcPr>
          <w:p w14:paraId="7A6A4737"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6 (26</w:t>
            </w:r>
            <w:r>
              <w:rPr>
                <w:rFonts w:ascii="Times New Roman" w:hAnsi="Times New Roman"/>
                <w:sz w:val="24"/>
                <w:szCs w:val="24"/>
              </w:rPr>
              <w:t>.1</w:t>
            </w:r>
            <w:r w:rsidRPr="00B7665D">
              <w:rPr>
                <w:rFonts w:ascii="Times New Roman" w:hAnsi="Times New Roman"/>
                <w:sz w:val="24"/>
                <w:szCs w:val="24"/>
              </w:rPr>
              <w:t>)</w:t>
            </w:r>
          </w:p>
        </w:tc>
      </w:tr>
      <w:tr w:rsidR="00A6323F" w14:paraId="4244B0AE" w14:textId="77777777" w:rsidTr="00B62A19">
        <w:tc>
          <w:tcPr>
            <w:tcW w:w="2410" w:type="dxa"/>
            <w:vAlign w:val="bottom"/>
          </w:tcPr>
          <w:p w14:paraId="2626DE76" w14:textId="77777777" w:rsidR="00A6323F" w:rsidRPr="00B7665D" w:rsidRDefault="00A6323F" w:rsidP="00B62A19">
            <w:pPr>
              <w:rPr>
                <w:rFonts w:ascii="Times New Roman" w:hAnsi="Times New Roman"/>
                <w:sz w:val="24"/>
                <w:szCs w:val="24"/>
              </w:rPr>
            </w:pPr>
            <w:proofErr w:type="spellStart"/>
            <w:r w:rsidRPr="00B7665D">
              <w:rPr>
                <w:rFonts w:ascii="Times New Roman" w:hAnsi="Times New Roman"/>
                <w:sz w:val="24"/>
                <w:szCs w:val="24"/>
              </w:rPr>
              <w:t>Venetoclax</w:t>
            </w:r>
            <w:proofErr w:type="spellEnd"/>
            <w:r w:rsidRPr="00B7665D">
              <w:rPr>
                <w:rFonts w:ascii="Times New Roman" w:hAnsi="Times New Roman"/>
                <w:sz w:val="24"/>
                <w:szCs w:val="24"/>
              </w:rPr>
              <w:t xml:space="preserve"> + HMA, n (%)</w:t>
            </w:r>
          </w:p>
        </w:tc>
        <w:tc>
          <w:tcPr>
            <w:tcW w:w="2411" w:type="dxa"/>
            <w:vAlign w:val="bottom"/>
          </w:tcPr>
          <w:p w14:paraId="3C3116CE"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3 (13</w:t>
            </w:r>
            <w:r>
              <w:rPr>
                <w:rFonts w:ascii="Times New Roman" w:hAnsi="Times New Roman"/>
                <w:sz w:val="24"/>
                <w:szCs w:val="24"/>
              </w:rPr>
              <w:t>.0</w:t>
            </w:r>
            <w:r w:rsidRPr="00B7665D">
              <w:rPr>
                <w:rFonts w:ascii="Times New Roman" w:hAnsi="Times New Roman"/>
                <w:sz w:val="24"/>
                <w:szCs w:val="24"/>
              </w:rPr>
              <w:t>)</w:t>
            </w:r>
          </w:p>
        </w:tc>
      </w:tr>
      <w:tr w:rsidR="00A6323F" w14:paraId="74F9E4C1" w14:textId="77777777" w:rsidTr="00B62A19">
        <w:tc>
          <w:tcPr>
            <w:tcW w:w="2410" w:type="dxa"/>
            <w:vAlign w:val="bottom"/>
          </w:tcPr>
          <w:p w14:paraId="603AE6DD" w14:textId="77777777" w:rsidR="00A6323F" w:rsidRPr="00B7665D" w:rsidRDefault="00A6323F" w:rsidP="00B62A19">
            <w:pPr>
              <w:rPr>
                <w:rFonts w:ascii="Times New Roman" w:hAnsi="Times New Roman"/>
                <w:sz w:val="24"/>
                <w:szCs w:val="24"/>
              </w:rPr>
            </w:pPr>
            <w:proofErr w:type="spellStart"/>
            <w:r w:rsidRPr="00B7665D">
              <w:rPr>
                <w:rFonts w:ascii="Times New Roman" w:hAnsi="Times New Roman"/>
                <w:sz w:val="24"/>
                <w:szCs w:val="24"/>
              </w:rPr>
              <w:t>Anastrazole</w:t>
            </w:r>
            <w:proofErr w:type="spellEnd"/>
            <w:r w:rsidRPr="00B7665D">
              <w:rPr>
                <w:rFonts w:ascii="Times New Roman" w:hAnsi="Times New Roman"/>
                <w:sz w:val="24"/>
                <w:szCs w:val="24"/>
              </w:rPr>
              <w:t xml:space="preserve"> + </w:t>
            </w:r>
            <w:proofErr w:type="spellStart"/>
            <w:r w:rsidRPr="00B7665D">
              <w:rPr>
                <w:rFonts w:ascii="Times New Roman" w:hAnsi="Times New Roman"/>
                <w:sz w:val="24"/>
                <w:szCs w:val="24"/>
              </w:rPr>
              <w:t>Abemaciclib</w:t>
            </w:r>
            <w:proofErr w:type="spellEnd"/>
            <w:r w:rsidRPr="00B7665D">
              <w:rPr>
                <w:rFonts w:ascii="Times New Roman" w:hAnsi="Times New Roman"/>
                <w:sz w:val="24"/>
                <w:szCs w:val="24"/>
              </w:rPr>
              <w:t>, n (%)</w:t>
            </w:r>
          </w:p>
        </w:tc>
        <w:tc>
          <w:tcPr>
            <w:tcW w:w="2411" w:type="dxa"/>
            <w:vAlign w:val="bottom"/>
          </w:tcPr>
          <w:p w14:paraId="4EB79C74"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w:t>
            </w:r>
            <w:r>
              <w:rPr>
                <w:rFonts w:ascii="Times New Roman" w:hAnsi="Times New Roman"/>
                <w:sz w:val="24"/>
                <w:szCs w:val="24"/>
              </w:rPr>
              <w:t>8.7</w:t>
            </w:r>
            <w:r w:rsidRPr="00B7665D">
              <w:rPr>
                <w:rFonts w:ascii="Times New Roman" w:hAnsi="Times New Roman"/>
                <w:sz w:val="24"/>
                <w:szCs w:val="24"/>
              </w:rPr>
              <w:t>)</w:t>
            </w:r>
          </w:p>
        </w:tc>
      </w:tr>
      <w:tr w:rsidR="00A6323F" w14:paraId="465D42A7" w14:textId="77777777" w:rsidTr="00B62A19">
        <w:tc>
          <w:tcPr>
            <w:tcW w:w="2410" w:type="dxa"/>
            <w:vAlign w:val="bottom"/>
          </w:tcPr>
          <w:p w14:paraId="31C9BF6B"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Arsenic + ATRA, n (%)</w:t>
            </w:r>
          </w:p>
        </w:tc>
        <w:tc>
          <w:tcPr>
            <w:tcW w:w="2411" w:type="dxa"/>
            <w:vAlign w:val="bottom"/>
          </w:tcPr>
          <w:p w14:paraId="23C136BA"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w:t>
            </w:r>
            <w:r>
              <w:rPr>
                <w:rFonts w:ascii="Times New Roman" w:hAnsi="Times New Roman"/>
                <w:sz w:val="24"/>
                <w:szCs w:val="24"/>
              </w:rPr>
              <w:t>8.7</w:t>
            </w:r>
            <w:r w:rsidRPr="00B7665D">
              <w:rPr>
                <w:rFonts w:ascii="Times New Roman" w:hAnsi="Times New Roman"/>
                <w:sz w:val="24"/>
                <w:szCs w:val="24"/>
              </w:rPr>
              <w:t>)</w:t>
            </w:r>
          </w:p>
        </w:tc>
      </w:tr>
      <w:tr w:rsidR="00A6323F" w14:paraId="0842307E" w14:textId="77777777" w:rsidTr="00B62A19">
        <w:tc>
          <w:tcPr>
            <w:tcW w:w="2410" w:type="dxa"/>
            <w:vAlign w:val="bottom"/>
          </w:tcPr>
          <w:p w14:paraId="02D2ECA5" w14:textId="77777777" w:rsidR="00A6323F" w:rsidRPr="00B7665D" w:rsidRDefault="00A6323F" w:rsidP="00B62A19">
            <w:pPr>
              <w:rPr>
                <w:rFonts w:ascii="Times New Roman" w:hAnsi="Times New Roman"/>
                <w:sz w:val="24"/>
                <w:szCs w:val="24"/>
              </w:rPr>
            </w:pPr>
            <w:proofErr w:type="spellStart"/>
            <w:r w:rsidRPr="00B7665D">
              <w:rPr>
                <w:rFonts w:ascii="Times New Roman" w:hAnsi="Times New Roman"/>
                <w:sz w:val="24"/>
                <w:szCs w:val="24"/>
              </w:rPr>
              <w:t>Bispecific</w:t>
            </w:r>
            <w:proofErr w:type="spellEnd"/>
            <w:r w:rsidRPr="00B7665D">
              <w:rPr>
                <w:rFonts w:ascii="Times New Roman" w:hAnsi="Times New Roman"/>
                <w:sz w:val="24"/>
                <w:szCs w:val="24"/>
              </w:rPr>
              <w:t xml:space="preserve"> agents (</w:t>
            </w:r>
            <w:proofErr w:type="spellStart"/>
            <w:r w:rsidRPr="00B7665D">
              <w:rPr>
                <w:rFonts w:ascii="Times New Roman" w:hAnsi="Times New Roman"/>
                <w:sz w:val="24"/>
                <w:szCs w:val="24"/>
              </w:rPr>
              <w:t>tarlatamab</w:t>
            </w:r>
            <w:proofErr w:type="spellEnd"/>
            <w:r w:rsidRPr="00B7665D">
              <w:rPr>
                <w:rFonts w:ascii="Times New Roman" w:hAnsi="Times New Roman"/>
                <w:sz w:val="24"/>
                <w:szCs w:val="24"/>
              </w:rPr>
              <w:t xml:space="preserve">, </w:t>
            </w:r>
            <w:proofErr w:type="spellStart"/>
            <w:r w:rsidRPr="00B7665D">
              <w:rPr>
                <w:rFonts w:ascii="Times New Roman" w:hAnsi="Times New Roman"/>
                <w:sz w:val="24"/>
                <w:szCs w:val="24"/>
              </w:rPr>
              <w:t>elratamab</w:t>
            </w:r>
            <w:proofErr w:type="spellEnd"/>
            <w:r w:rsidRPr="00B7665D">
              <w:rPr>
                <w:rFonts w:ascii="Times New Roman" w:hAnsi="Times New Roman"/>
                <w:sz w:val="24"/>
                <w:szCs w:val="24"/>
              </w:rPr>
              <w:t>), n (%)</w:t>
            </w:r>
          </w:p>
        </w:tc>
        <w:tc>
          <w:tcPr>
            <w:tcW w:w="2411" w:type="dxa"/>
            <w:vAlign w:val="bottom"/>
          </w:tcPr>
          <w:p w14:paraId="70CD1F99"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2 (</w:t>
            </w:r>
            <w:r>
              <w:rPr>
                <w:rFonts w:ascii="Times New Roman" w:hAnsi="Times New Roman"/>
                <w:sz w:val="24"/>
                <w:szCs w:val="24"/>
              </w:rPr>
              <w:t>8.7</w:t>
            </w:r>
            <w:r w:rsidRPr="00B7665D">
              <w:rPr>
                <w:rFonts w:ascii="Times New Roman" w:hAnsi="Times New Roman"/>
                <w:sz w:val="24"/>
                <w:szCs w:val="24"/>
              </w:rPr>
              <w:t>)</w:t>
            </w:r>
          </w:p>
        </w:tc>
      </w:tr>
      <w:tr w:rsidR="00A6323F" w14:paraId="087FF327" w14:textId="77777777" w:rsidTr="00B62A19">
        <w:tc>
          <w:tcPr>
            <w:tcW w:w="2410" w:type="dxa"/>
            <w:vAlign w:val="bottom"/>
          </w:tcPr>
          <w:p w14:paraId="6E4AF836"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Other regimens (single uses), n (%)</w:t>
            </w:r>
          </w:p>
        </w:tc>
        <w:tc>
          <w:tcPr>
            <w:tcW w:w="2411" w:type="dxa"/>
            <w:vAlign w:val="bottom"/>
          </w:tcPr>
          <w:p w14:paraId="4D21106D" w14:textId="77777777" w:rsidR="00A6323F" w:rsidRPr="00B7665D" w:rsidRDefault="00A6323F" w:rsidP="00B62A19">
            <w:pPr>
              <w:rPr>
                <w:rFonts w:ascii="Times New Roman" w:hAnsi="Times New Roman"/>
                <w:sz w:val="24"/>
                <w:szCs w:val="24"/>
              </w:rPr>
            </w:pPr>
            <w:r w:rsidRPr="00B7665D">
              <w:rPr>
                <w:rFonts w:ascii="Times New Roman" w:hAnsi="Times New Roman"/>
                <w:sz w:val="24"/>
                <w:szCs w:val="24"/>
              </w:rPr>
              <w:t>8 (3</w:t>
            </w:r>
            <w:r>
              <w:rPr>
                <w:rFonts w:ascii="Times New Roman" w:hAnsi="Times New Roman"/>
                <w:sz w:val="24"/>
                <w:szCs w:val="24"/>
              </w:rPr>
              <w:t>4.8</w:t>
            </w:r>
            <w:r w:rsidRPr="00B7665D">
              <w:rPr>
                <w:rFonts w:ascii="Times New Roman" w:hAnsi="Times New Roman"/>
                <w:sz w:val="24"/>
                <w:szCs w:val="24"/>
              </w:rPr>
              <w:t>)</w:t>
            </w:r>
          </w:p>
        </w:tc>
      </w:tr>
    </w:tbl>
    <w:p w14:paraId="2F9FD292" w14:textId="480395C0" w:rsidR="00A6323F" w:rsidRDefault="00A6323F" w:rsidP="00A6323F">
      <w:pPr>
        <w:rPr>
          <w:rFonts w:ascii="Times New Roman" w:hAnsi="Times New Roman"/>
          <w:i/>
          <w:iCs/>
          <w:sz w:val="24"/>
          <w:szCs w:val="24"/>
        </w:rPr>
      </w:pPr>
      <w:r>
        <w:rPr>
          <w:rFonts w:ascii="Times New Roman" w:hAnsi="Times New Roman"/>
          <w:i/>
          <w:iCs/>
          <w:sz w:val="24"/>
          <w:szCs w:val="24"/>
        </w:rPr>
        <w:t>Table 5</w:t>
      </w:r>
      <w:r w:rsidR="00BA484B">
        <w:rPr>
          <w:rFonts w:ascii="Times New Roman" w:hAnsi="Times New Roman"/>
          <w:i/>
          <w:iCs/>
          <w:sz w:val="24"/>
          <w:szCs w:val="24"/>
        </w:rPr>
        <w:t>: Regimens included without full regimen resource available</w:t>
      </w:r>
    </w:p>
    <w:p w14:paraId="4D7B6750" w14:textId="77777777" w:rsidR="00A6323F" w:rsidRDefault="00A6323F" w:rsidP="00A6323F">
      <w:pPr>
        <w:rPr>
          <w:rFonts w:ascii="Times New Roman" w:hAnsi="Times New Roman"/>
          <w:sz w:val="24"/>
          <w:szCs w:val="24"/>
        </w:rPr>
      </w:pPr>
      <w:r>
        <w:rPr>
          <w:rFonts w:ascii="Times New Roman" w:hAnsi="Times New Roman"/>
          <w:b/>
          <w:bCs/>
          <w:i/>
          <w:iCs/>
          <w:sz w:val="24"/>
          <w:szCs w:val="24"/>
        </w:rPr>
        <w:t xml:space="preserve">4.2 Primary Outcome </w:t>
      </w:r>
    </w:p>
    <w:p w14:paraId="2CA95789" w14:textId="7FD5FF2A" w:rsidR="00A6323F" w:rsidRDefault="00A6323F" w:rsidP="00A6323F">
      <w:pPr>
        <w:rPr>
          <w:rFonts w:ascii="Times New Roman" w:hAnsi="Times New Roman"/>
          <w:sz w:val="24"/>
          <w:szCs w:val="24"/>
        </w:rPr>
      </w:pPr>
      <w:r>
        <w:rPr>
          <w:rFonts w:ascii="Times New Roman" w:hAnsi="Times New Roman"/>
          <w:sz w:val="24"/>
          <w:szCs w:val="24"/>
        </w:rPr>
        <w:t xml:space="preserve">   Among the 44 included interventions, 41 (93.2%) were completed. </w:t>
      </w:r>
      <w:r w:rsidR="00095D9A">
        <w:rPr>
          <w:rFonts w:ascii="Times New Roman" w:hAnsi="Times New Roman"/>
          <w:sz w:val="24"/>
          <w:szCs w:val="24"/>
        </w:rPr>
        <w:t>There were 3 (6.8%) that were unable to be completed.</w:t>
      </w:r>
    </w:p>
    <w:p w14:paraId="778FF09E" w14:textId="77777777" w:rsidR="00A6323F" w:rsidRDefault="00A6323F" w:rsidP="00A6323F">
      <w:pPr>
        <w:rPr>
          <w:rFonts w:ascii="Times New Roman" w:hAnsi="Times New Roman"/>
          <w:b/>
          <w:bCs/>
          <w:i/>
          <w:iCs/>
          <w:sz w:val="24"/>
          <w:szCs w:val="24"/>
        </w:rPr>
      </w:pPr>
      <w:r w:rsidRPr="008B1C75">
        <w:rPr>
          <w:rFonts w:ascii="Times New Roman" w:hAnsi="Times New Roman"/>
          <w:b/>
          <w:bCs/>
          <w:i/>
          <w:iCs/>
          <w:sz w:val="24"/>
          <w:szCs w:val="24"/>
        </w:rPr>
        <w:t xml:space="preserve">4.3 Secondary Outcomes </w:t>
      </w:r>
    </w:p>
    <w:p w14:paraId="680ED309" w14:textId="1D3B5AB6" w:rsidR="00A6323F" w:rsidRPr="00CA7A7B" w:rsidRDefault="00A6323F" w:rsidP="00A6323F">
      <w:pPr>
        <w:rPr>
          <w:rFonts w:ascii="Times New Roman" w:hAnsi="Times New Roman"/>
          <w:noProof/>
          <w:sz w:val="24"/>
          <w:szCs w:val="28"/>
        </w:rPr>
      </w:pPr>
      <w:r>
        <w:rPr>
          <w:rFonts w:ascii="Times New Roman" w:hAnsi="Times New Roman"/>
          <w:noProof/>
          <w:sz w:val="24"/>
          <w:szCs w:val="28"/>
        </w:rPr>
        <w:t xml:space="preserve">   Fifteen</w:t>
      </w:r>
      <w:r w:rsidRPr="00CA7A7B">
        <w:rPr>
          <w:rFonts w:ascii="Times New Roman" w:hAnsi="Times New Roman"/>
          <w:noProof/>
          <w:sz w:val="24"/>
          <w:szCs w:val="28"/>
        </w:rPr>
        <w:t xml:space="preserve"> additional interventions were made as a result of counseling over 14 patients (34.1%). </w:t>
      </w:r>
      <w:r>
        <w:rPr>
          <w:rFonts w:ascii="Times New Roman" w:hAnsi="Times New Roman"/>
          <w:noProof/>
          <w:sz w:val="24"/>
          <w:szCs w:val="28"/>
        </w:rPr>
        <w:t>Two</w:t>
      </w:r>
      <w:r w:rsidRPr="00CA7A7B">
        <w:rPr>
          <w:rFonts w:ascii="Times New Roman" w:hAnsi="Times New Roman"/>
          <w:noProof/>
          <w:sz w:val="24"/>
          <w:szCs w:val="28"/>
        </w:rPr>
        <w:t xml:space="preserve"> interventions were attributed to 1 patient. </w:t>
      </w:r>
      <w:r>
        <w:rPr>
          <w:rFonts w:ascii="Times New Roman" w:hAnsi="Times New Roman"/>
          <w:noProof/>
          <w:sz w:val="24"/>
          <w:szCs w:val="28"/>
        </w:rPr>
        <w:br/>
        <w:t xml:space="preserve">   Amongst these interventions, the most frequent was under the category of disease state without pharmacotherapy – other, having 5 interventions occur. Other categories include adverse drug reactions prevented (2), </w:t>
      </w:r>
      <w:r w:rsidR="008613A3">
        <w:rPr>
          <w:rFonts w:ascii="Times New Roman" w:hAnsi="Times New Roman"/>
          <w:noProof/>
          <w:sz w:val="24"/>
          <w:szCs w:val="28"/>
        </w:rPr>
        <w:t>d</w:t>
      </w:r>
      <w:r>
        <w:rPr>
          <w:rFonts w:ascii="Times New Roman" w:hAnsi="Times New Roman"/>
          <w:noProof/>
          <w:sz w:val="24"/>
          <w:szCs w:val="28"/>
        </w:rPr>
        <w:t xml:space="preserve">isease state without pharmacotherapy (4), drug-drug interaction (1), and outpatient follow-up and logistics (3) (Figure 1). </w:t>
      </w:r>
      <w:r>
        <w:rPr>
          <w:rFonts w:ascii="Times New Roman" w:hAnsi="Times New Roman"/>
          <w:noProof/>
          <w:sz w:val="24"/>
          <w:szCs w:val="28"/>
        </w:rPr>
        <w:br/>
        <w:t xml:space="preserve">   Table 6 describes the face-to-face time spent with the patient. Average face-to-face time spent was 13 minutes. Of note, 1 intervention did not </w:t>
      </w:r>
      <w:r>
        <w:rPr>
          <w:rFonts w:ascii="Times New Roman" w:hAnsi="Times New Roman"/>
          <w:noProof/>
          <w:sz w:val="24"/>
          <w:szCs w:val="28"/>
        </w:rPr>
        <w:t xml:space="preserve">document time spent, so was not included in this average. </w:t>
      </w:r>
    </w:p>
    <w:tbl>
      <w:tblPr>
        <w:tblStyle w:val="TableGrid"/>
        <w:tblW w:w="0" w:type="auto"/>
        <w:tblLook w:val="04A0" w:firstRow="1" w:lastRow="0" w:firstColumn="1" w:lastColumn="0" w:noHBand="0" w:noVBand="1"/>
      </w:tblPr>
      <w:tblGrid>
        <w:gridCol w:w="2410"/>
        <w:gridCol w:w="2411"/>
      </w:tblGrid>
      <w:tr w:rsidR="00A6323F" w14:paraId="650A86CC" w14:textId="77777777" w:rsidTr="00B62A19">
        <w:tc>
          <w:tcPr>
            <w:tcW w:w="2410" w:type="dxa"/>
          </w:tcPr>
          <w:p w14:paraId="1BC2E101" w14:textId="77777777" w:rsidR="00A6323F" w:rsidRPr="00D2463C" w:rsidRDefault="00A6323F" w:rsidP="00B62A19">
            <w:pPr>
              <w:rPr>
                <w:rFonts w:ascii="Times New Roman" w:hAnsi="Times New Roman"/>
                <w:b/>
                <w:bCs/>
                <w:noProof/>
                <w:sz w:val="24"/>
                <w:szCs w:val="28"/>
              </w:rPr>
            </w:pPr>
            <w:r w:rsidRPr="00D2463C">
              <w:rPr>
                <w:rFonts w:ascii="Times New Roman" w:hAnsi="Times New Roman"/>
                <w:b/>
                <w:bCs/>
                <w:noProof/>
                <w:sz w:val="24"/>
                <w:szCs w:val="28"/>
              </w:rPr>
              <w:t>Face to face time spent</w:t>
            </w:r>
          </w:p>
        </w:tc>
        <w:tc>
          <w:tcPr>
            <w:tcW w:w="2411" w:type="dxa"/>
          </w:tcPr>
          <w:p w14:paraId="1E3EA9F3" w14:textId="77777777" w:rsidR="00A6323F" w:rsidRDefault="00A6323F" w:rsidP="00B62A19">
            <w:pPr>
              <w:rPr>
                <w:rFonts w:ascii="Times New Roman" w:hAnsi="Times New Roman"/>
                <w:noProof/>
                <w:sz w:val="24"/>
                <w:szCs w:val="28"/>
              </w:rPr>
            </w:pPr>
          </w:p>
        </w:tc>
      </w:tr>
      <w:tr w:rsidR="00A6323F" w14:paraId="08B47C53" w14:textId="77777777" w:rsidTr="00B62A19">
        <w:tc>
          <w:tcPr>
            <w:tcW w:w="2410" w:type="dxa"/>
          </w:tcPr>
          <w:p w14:paraId="5FE230CD"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Average (standard deviation)</w:t>
            </w:r>
          </w:p>
        </w:tc>
        <w:tc>
          <w:tcPr>
            <w:tcW w:w="2411" w:type="dxa"/>
          </w:tcPr>
          <w:p w14:paraId="03770982"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 xml:space="preserve">13 (7.3) </w:t>
            </w:r>
          </w:p>
        </w:tc>
      </w:tr>
      <w:tr w:rsidR="00A6323F" w14:paraId="44BC256F" w14:textId="77777777" w:rsidTr="00B62A19">
        <w:tc>
          <w:tcPr>
            <w:tcW w:w="2410" w:type="dxa"/>
          </w:tcPr>
          <w:p w14:paraId="0F122331"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Minimum time spent, minutes</w:t>
            </w:r>
          </w:p>
        </w:tc>
        <w:tc>
          <w:tcPr>
            <w:tcW w:w="2411" w:type="dxa"/>
          </w:tcPr>
          <w:p w14:paraId="45DCDAA1"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5</w:t>
            </w:r>
          </w:p>
        </w:tc>
      </w:tr>
      <w:tr w:rsidR="00A6323F" w14:paraId="7A4AE696" w14:textId="77777777" w:rsidTr="00B62A19">
        <w:tc>
          <w:tcPr>
            <w:tcW w:w="2410" w:type="dxa"/>
          </w:tcPr>
          <w:p w14:paraId="00F4F017"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Maximum time spent, minutes</w:t>
            </w:r>
          </w:p>
        </w:tc>
        <w:tc>
          <w:tcPr>
            <w:tcW w:w="2411" w:type="dxa"/>
          </w:tcPr>
          <w:p w14:paraId="4FAB50E3" w14:textId="77777777" w:rsidR="00A6323F" w:rsidRDefault="00A6323F" w:rsidP="00B62A19">
            <w:pPr>
              <w:rPr>
                <w:rFonts w:ascii="Times New Roman" w:hAnsi="Times New Roman"/>
                <w:noProof/>
                <w:sz w:val="24"/>
                <w:szCs w:val="28"/>
              </w:rPr>
            </w:pPr>
            <w:r w:rsidRPr="00D2463C">
              <w:rPr>
                <w:rFonts w:ascii="Times New Roman" w:hAnsi="Times New Roman"/>
                <w:noProof/>
                <w:sz w:val="24"/>
                <w:szCs w:val="28"/>
              </w:rPr>
              <w:t>30</w:t>
            </w:r>
          </w:p>
        </w:tc>
      </w:tr>
    </w:tbl>
    <w:p w14:paraId="267CF0CB" w14:textId="207C22FD" w:rsidR="00A6323F" w:rsidRDefault="00A6323F" w:rsidP="00A6323F">
      <w:pPr>
        <w:rPr>
          <w:rFonts w:ascii="Times New Roman" w:hAnsi="Times New Roman"/>
          <w:noProof/>
          <w:sz w:val="24"/>
          <w:szCs w:val="28"/>
        </w:rPr>
      </w:pPr>
      <w:r>
        <w:rPr>
          <w:rFonts w:ascii="Times New Roman" w:hAnsi="Times New Roman"/>
          <w:i/>
          <w:iCs/>
          <w:noProof/>
          <w:sz w:val="24"/>
          <w:szCs w:val="28"/>
        </w:rPr>
        <w:t>Table 6</w:t>
      </w:r>
      <w:r w:rsidR="00BA484B">
        <w:rPr>
          <w:rFonts w:ascii="Times New Roman" w:hAnsi="Times New Roman"/>
          <w:i/>
          <w:iCs/>
          <w:noProof/>
          <w:sz w:val="24"/>
          <w:szCs w:val="28"/>
        </w:rPr>
        <w:t>: Face-to-face time spent with the patient</w:t>
      </w:r>
      <w:r>
        <w:rPr>
          <w:rFonts w:ascii="Times New Roman" w:hAnsi="Times New Roman"/>
          <w:i/>
          <w:iCs/>
          <w:noProof/>
          <w:sz w:val="24"/>
          <w:szCs w:val="28"/>
        </w:rPr>
        <w:t xml:space="preserve"> </w:t>
      </w:r>
    </w:p>
    <w:p w14:paraId="6A7BD782" w14:textId="06AD8800" w:rsidR="00A6323F" w:rsidRPr="00A6323F" w:rsidRDefault="00A6323F" w:rsidP="00A6323F">
      <w:pPr>
        <w:rPr>
          <w:rFonts w:ascii="Times New Roman" w:hAnsi="Times New Roman"/>
          <w:noProof/>
          <w:sz w:val="24"/>
          <w:szCs w:val="28"/>
        </w:rPr>
      </w:pPr>
      <w:r>
        <w:rPr>
          <w:rFonts w:ascii="Times New Roman" w:hAnsi="Times New Roman"/>
          <w:noProof/>
          <w:sz w:val="24"/>
          <w:szCs w:val="28"/>
        </w:rPr>
        <w:t xml:space="preserve">  Among the 41 included counseling sessions, 34 (82.9%) were completed on Day 1 of therapy</w:t>
      </w:r>
      <w:r w:rsidR="008718F0">
        <w:rPr>
          <w:rFonts w:ascii="Times New Roman" w:hAnsi="Times New Roman"/>
          <w:noProof/>
          <w:sz w:val="24"/>
          <w:szCs w:val="28"/>
        </w:rPr>
        <w:t>,</w:t>
      </w:r>
      <w:r>
        <w:rPr>
          <w:rFonts w:ascii="Times New Roman" w:hAnsi="Times New Roman"/>
          <w:noProof/>
          <w:sz w:val="24"/>
          <w:szCs w:val="28"/>
        </w:rPr>
        <w:t xml:space="preserve"> 5 (12.2%) were completed on Day 2 of therapy, and 2 (4.9%) were completed on Day 3 of therapy. There were no occurrences </w:t>
      </w:r>
      <w:r w:rsidR="00BA484B">
        <w:rPr>
          <w:rFonts w:ascii="Times New Roman" w:hAnsi="Times New Roman"/>
          <w:noProof/>
          <w:sz w:val="24"/>
          <w:szCs w:val="28"/>
        </w:rPr>
        <w:t>p</w:t>
      </w:r>
      <w:r>
        <w:rPr>
          <w:rFonts w:ascii="Times New Roman" w:hAnsi="Times New Roman"/>
          <w:noProof/>
          <w:sz w:val="24"/>
          <w:szCs w:val="28"/>
        </w:rPr>
        <w:t xml:space="preserve">ast Day 3 (Figure 2). </w:t>
      </w:r>
      <w:r>
        <w:rPr>
          <w:rFonts w:ascii="Times New Roman" w:hAnsi="Times New Roman"/>
          <w:noProof/>
          <w:sz w:val="24"/>
          <w:szCs w:val="28"/>
        </w:rPr>
        <w:br/>
        <w:t xml:space="preserve">  Of note, among the 7 that were completed after Day 1, 3 were completed by a back-up pharmacist. </w:t>
      </w:r>
      <w:r w:rsidR="008718F0">
        <w:rPr>
          <w:rFonts w:ascii="Times New Roman" w:hAnsi="Times New Roman"/>
          <w:noProof/>
          <w:sz w:val="24"/>
          <w:szCs w:val="28"/>
        </w:rPr>
        <w:t>Nine</w:t>
      </w:r>
      <w:r>
        <w:rPr>
          <w:rFonts w:ascii="Times New Roman" w:hAnsi="Times New Roman"/>
          <w:noProof/>
          <w:sz w:val="24"/>
          <w:szCs w:val="28"/>
        </w:rPr>
        <w:t xml:space="preserve"> total were completed by this back-up pharmacist.  </w:t>
      </w:r>
    </w:p>
    <w:p w14:paraId="2C078665" w14:textId="77777777" w:rsidR="00A6323F" w:rsidRPr="00215398" w:rsidRDefault="00A6323F" w:rsidP="00A6323F">
      <w:pPr>
        <w:spacing w:before="200" w:after="120"/>
        <w:rPr>
          <w:rFonts w:ascii="Times New Roman" w:hAnsi="Times New Roman"/>
          <w:b/>
          <w:sz w:val="28"/>
        </w:rPr>
      </w:pPr>
      <w:r>
        <w:rPr>
          <w:rFonts w:ascii="Times New Roman" w:hAnsi="Times New Roman"/>
          <w:b/>
          <w:sz w:val="28"/>
        </w:rPr>
        <w:t>5</w:t>
      </w:r>
      <w:r w:rsidRPr="00215398">
        <w:rPr>
          <w:rFonts w:ascii="Times New Roman" w:hAnsi="Times New Roman"/>
          <w:b/>
          <w:sz w:val="28"/>
        </w:rPr>
        <w:t>. Discussion</w:t>
      </w:r>
    </w:p>
    <w:p w14:paraId="37BBA74F" w14:textId="11514315" w:rsidR="00A6323F" w:rsidRDefault="00A6323F" w:rsidP="00A6323F">
      <w:pPr>
        <w:pStyle w:val="IOPAbsText"/>
        <w:ind w:right="14" w:firstLine="230"/>
        <w:jc w:val="both"/>
        <w:rPr>
          <w:noProof/>
          <w:sz w:val="24"/>
          <w:szCs w:val="28"/>
        </w:rPr>
      </w:pPr>
      <w:r w:rsidRPr="00F137A9">
        <w:rPr>
          <w:noProof/>
          <w:sz w:val="24"/>
          <w:szCs w:val="28"/>
        </w:rPr>
        <w:t>This study demonstrates that the addition of pharmacist counseling in the inpatient setting is time-efficient and results in an opportunity for pharmacists to identify and act on medication issues.</w:t>
      </w:r>
      <w:r>
        <w:rPr>
          <w:noProof/>
          <w:sz w:val="24"/>
          <w:szCs w:val="28"/>
        </w:rPr>
        <w:t xml:space="preserve"> </w:t>
      </w:r>
      <w:r w:rsidR="00095D9A">
        <w:rPr>
          <w:noProof/>
          <w:sz w:val="24"/>
          <w:szCs w:val="28"/>
        </w:rPr>
        <w:t>Among</w:t>
      </w:r>
      <w:r>
        <w:rPr>
          <w:noProof/>
          <w:sz w:val="24"/>
          <w:szCs w:val="28"/>
        </w:rPr>
        <w:t xml:space="preserve"> identified patients</w:t>
      </w:r>
      <w:r w:rsidR="00095D9A">
        <w:rPr>
          <w:noProof/>
          <w:sz w:val="24"/>
          <w:szCs w:val="28"/>
        </w:rPr>
        <w:t>, 93%</w:t>
      </w:r>
      <w:r>
        <w:rPr>
          <w:noProof/>
          <w:sz w:val="24"/>
          <w:szCs w:val="28"/>
        </w:rPr>
        <w:t xml:space="preserve"> received a face-to-face counseling session with a pharmacist, with 83% of these occurring on the first day of therapy and 34% resulting in additional interventions. They took an average of 13 minutes, but could potentially take as long as 30 minutes. </w:t>
      </w:r>
    </w:p>
    <w:p w14:paraId="02B8105C" w14:textId="513881E7" w:rsidR="00A6323F" w:rsidRDefault="00A6323F" w:rsidP="004B5171">
      <w:pPr>
        <w:pStyle w:val="IOPAbsText"/>
        <w:ind w:right="14" w:firstLine="230"/>
        <w:jc w:val="both"/>
        <w:rPr>
          <w:noProof/>
          <w:color w:val="FF0000"/>
          <w:sz w:val="24"/>
          <w:szCs w:val="28"/>
        </w:rPr>
      </w:pPr>
      <w:r w:rsidRPr="00F137A9">
        <w:rPr>
          <w:noProof/>
          <w:sz w:val="24"/>
          <w:szCs w:val="28"/>
        </w:rPr>
        <w:t xml:space="preserve">Examples of pharmacist interventions include a patient complaining of significant diarrhea immediately after starting chemotherapy. The pharmacist took this information to the provider and was able to add appropriate antidiarrheal therapy. Another patient expressed concern about her outpatient follow-up appointment times, so the pharmacist contacted </w:t>
      </w:r>
      <w:r>
        <w:rPr>
          <w:noProof/>
          <w:sz w:val="24"/>
          <w:szCs w:val="28"/>
        </w:rPr>
        <w:t>the pharmacist</w:t>
      </w:r>
      <w:r w:rsidRPr="00F137A9">
        <w:rPr>
          <w:noProof/>
          <w:sz w:val="24"/>
          <w:szCs w:val="28"/>
        </w:rPr>
        <w:t xml:space="preserve"> from the </w:t>
      </w:r>
      <w:r w:rsidRPr="00F137A9">
        <w:rPr>
          <w:noProof/>
          <w:sz w:val="24"/>
          <w:szCs w:val="28"/>
        </w:rPr>
        <w:lastRenderedPageBreak/>
        <w:t xml:space="preserve">outpatient infusion center to change their appointment times. One patient asked about feeling hot with her chemotherapy. The pharmacist noted that she felt warm, requested a temperature be taken, and when it was found that she was febrile, took this to the provider to hold chemotherapy and initiate a febrile neutropenia workup and antibiotics. </w:t>
      </w:r>
    </w:p>
    <w:p w14:paraId="44F9ADA3" w14:textId="77777777" w:rsidR="004B5171" w:rsidRDefault="004B5171" w:rsidP="004B5171">
      <w:pPr>
        <w:pStyle w:val="IOPAbsText"/>
        <w:ind w:right="14" w:firstLine="230"/>
        <w:jc w:val="both"/>
        <w:rPr>
          <w:noProof/>
          <w:color w:val="FF0000"/>
          <w:sz w:val="24"/>
          <w:szCs w:val="28"/>
        </w:rPr>
      </w:pPr>
    </w:p>
    <w:p w14:paraId="6A585789" w14:textId="77777777" w:rsidR="00A6323F" w:rsidRPr="00215398" w:rsidRDefault="00A6323F" w:rsidP="00A6323F">
      <w:pPr>
        <w:pStyle w:val="IOPAbsText"/>
        <w:ind w:right="14"/>
        <w:jc w:val="both"/>
        <w:rPr>
          <w:b/>
          <w:bCs/>
          <w:i/>
          <w:iCs/>
          <w:noProof/>
          <w:sz w:val="24"/>
          <w:szCs w:val="28"/>
        </w:rPr>
      </w:pPr>
      <w:r>
        <w:rPr>
          <w:b/>
          <w:bCs/>
          <w:i/>
          <w:iCs/>
          <w:noProof/>
          <w:sz w:val="24"/>
          <w:szCs w:val="28"/>
        </w:rPr>
        <w:t>5</w:t>
      </w:r>
      <w:r w:rsidRPr="00215398">
        <w:rPr>
          <w:b/>
          <w:bCs/>
          <w:i/>
          <w:iCs/>
          <w:noProof/>
          <w:sz w:val="24"/>
          <w:szCs w:val="28"/>
        </w:rPr>
        <w:t>.1 Barriers to implementation</w:t>
      </w:r>
    </w:p>
    <w:p w14:paraId="5A2312DD" w14:textId="77777777" w:rsidR="00A6323F" w:rsidRDefault="00A6323F" w:rsidP="00A6323F">
      <w:pPr>
        <w:pStyle w:val="IOPAbsText"/>
        <w:ind w:right="14" w:firstLine="230"/>
        <w:jc w:val="both"/>
        <w:rPr>
          <w:noProof/>
          <w:sz w:val="24"/>
          <w:szCs w:val="28"/>
        </w:rPr>
      </w:pPr>
      <w:r>
        <w:rPr>
          <w:noProof/>
          <w:sz w:val="24"/>
          <w:szCs w:val="28"/>
        </w:rPr>
        <w:t>A major initial concern was the amount of time required</w:t>
      </w:r>
      <w:r w:rsidRPr="00F137A9">
        <w:rPr>
          <w:noProof/>
          <w:sz w:val="24"/>
          <w:szCs w:val="28"/>
        </w:rPr>
        <w:t>.</w:t>
      </w:r>
      <w:r>
        <w:rPr>
          <w:noProof/>
          <w:sz w:val="24"/>
          <w:szCs w:val="28"/>
        </w:rPr>
        <w:t xml:space="preserve"> Inpatient pharmacists have a significant workload, and the addition of another item may have posed a challenge. The purpose of this study was in part to evaluate that concern. </w:t>
      </w:r>
    </w:p>
    <w:p w14:paraId="6753612E" w14:textId="0F5F2C70" w:rsidR="00A6323F" w:rsidRPr="004B5171" w:rsidRDefault="00A6323F" w:rsidP="004B5171">
      <w:pPr>
        <w:pStyle w:val="IOPAbsText"/>
        <w:ind w:right="14" w:firstLine="230"/>
        <w:jc w:val="both"/>
        <w:rPr>
          <w:noProof/>
          <w:sz w:val="24"/>
          <w:szCs w:val="28"/>
        </w:rPr>
      </w:pPr>
      <w:r w:rsidRPr="009373DA">
        <w:rPr>
          <w:noProof/>
          <w:sz w:val="24"/>
          <w:szCs w:val="28"/>
        </w:rPr>
        <w:t xml:space="preserve">Another barrier faced was the frequent inavailability of preferred educational materials. Of the regimens in this study, only 48% were available as complete regimens. This posed a challenge to pharmacists when they had to collect appropriate materials on each individual agent. Pharmacists estimate that, for longer regimens, this could take an additional 30 minutes prior to counseling.  Additionally, material for each individual agent may be considerably longer to read than a complete regimen, which could be overwhelming to the patient. For example, an </w:t>
      </w:r>
      <w:r w:rsidR="009373DA" w:rsidRPr="009373DA">
        <w:rPr>
          <w:noProof/>
          <w:sz w:val="24"/>
          <w:szCs w:val="28"/>
        </w:rPr>
        <w:t>complete regimen</w:t>
      </w:r>
      <w:r w:rsidRPr="009373DA">
        <w:rPr>
          <w:noProof/>
          <w:sz w:val="24"/>
          <w:szCs w:val="28"/>
        </w:rPr>
        <w:t xml:space="preserve"> document for da-R-EPOCH, which contains 6 individual agents</w:t>
      </w:r>
      <w:r w:rsidR="009373DA" w:rsidRPr="009373DA">
        <w:rPr>
          <w:noProof/>
          <w:sz w:val="24"/>
          <w:szCs w:val="28"/>
        </w:rPr>
        <w:t>,</w:t>
      </w:r>
      <w:r w:rsidRPr="009373DA">
        <w:rPr>
          <w:noProof/>
          <w:sz w:val="24"/>
          <w:szCs w:val="28"/>
        </w:rPr>
        <w:t xml:space="preserve"> is 10 pages long. </w:t>
      </w:r>
      <w:r w:rsidR="009373DA" w:rsidRPr="009373DA">
        <w:rPr>
          <w:noProof/>
          <w:sz w:val="24"/>
          <w:szCs w:val="28"/>
        </w:rPr>
        <w:t>Individual agent documents</w:t>
      </w:r>
      <w:r w:rsidRPr="009373DA">
        <w:rPr>
          <w:noProof/>
          <w:sz w:val="24"/>
          <w:szCs w:val="28"/>
        </w:rPr>
        <w:t xml:space="preserve"> for carboplatin and etoposide, only 2 agents, is 15 pages long. </w:t>
      </w:r>
    </w:p>
    <w:p w14:paraId="04C4134E" w14:textId="77777777" w:rsidR="00A6323F" w:rsidRPr="00A903B3" w:rsidRDefault="00A6323F" w:rsidP="00A6323F">
      <w:pPr>
        <w:spacing w:before="200" w:after="120"/>
        <w:rPr>
          <w:rFonts w:ascii="Times New Roman" w:hAnsi="Times New Roman"/>
          <w:b/>
          <w:i/>
          <w:iCs/>
          <w:sz w:val="24"/>
          <w:szCs w:val="20"/>
        </w:rPr>
      </w:pPr>
      <w:r>
        <w:rPr>
          <w:rFonts w:ascii="Times New Roman" w:hAnsi="Times New Roman"/>
          <w:b/>
          <w:i/>
          <w:iCs/>
          <w:sz w:val="24"/>
          <w:szCs w:val="20"/>
        </w:rPr>
        <w:t>5</w:t>
      </w:r>
      <w:r w:rsidRPr="00A903B3">
        <w:rPr>
          <w:rFonts w:ascii="Times New Roman" w:hAnsi="Times New Roman"/>
          <w:b/>
          <w:i/>
          <w:iCs/>
          <w:sz w:val="24"/>
          <w:szCs w:val="20"/>
        </w:rPr>
        <w:t>.2 Study limitations</w:t>
      </w:r>
    </w:p>
    <w:p w14:paraId="712558E5" w14:textId="77777777" w:rsidR="00A6323F" w:rsidRPr="007D74C4" w:rsidRDefault="00A6323F" w:rsidP="00A6323F">
      <w:pPr>
        <w:spacing w:before="200" w:after="120"/>
        <w:ind w:firstLine="230"/>
        <w:jc w:val="both"/>
        <w:rPr>
          <w:rFonts w:ascii="Times New Roman" w:hAnsi="Times New Roman"/>
          <w:bCs/>
          <w:color w:val="FF0000"/>
          <w:sz w:val="24"/>
          <w:szCs w:val="20"/>
        </w:rPr>
      </w:pPr>
      <w:r w:rsidRPr="00A903B3">
        <w:rPr>
          <w:rFonts w:ascii="Times New Roman" w:hAnsi="Times New Roman"/>
          <w:bCs/>
          <w:sz w:val="24"/>
          <w:szCs w:val="20"/>
        </w:rPr>
        <w:t>Limitations of this study include its retrospective design, and variability in documentation in interventions, including 1 intervention with incomplete documentation. Data points in this study required manual chart review and full data may not have been captured during collection.</w:t>
      </w:r>
      <w:r>
        <w:rPr>
          <w:rFonts w:ascii="Times New Roman" w:hAnsi="Times New Roman"/>
          <w:bCs/>
          <w:sz w:val="24"/>
          <w:szCs w:val="20"/>
        </w:rPr>
        <w:t xml:space="preserve"> The collection of face-to-face time does not account for additional time spent prior to or following face-to-face time, so this data may not fully elucidate time requirements involved. </w:t>
      </w:r>
    </w:p>
    <w:p w14:paraId="40D046EC" w14:textId="77777777" w:rsidR="00A6323F" w:rsidRPr="00A26DA4" w:rsidRDefault="00A6323F" w:rsidP="00A6323F">
      <w:pPr>
        <w:spacing w:before="200" w:after="120"/>
        <w:rPr>
          <w:rFonts w:ascii="Times New Roman" w:hAnsi="Times New Roman"/>
          <w:b/>
          <w:sz w:val="28"/>
        </w:rPr>
      </w:pPr>
      <w:r>
        <w:rPr>
          <w:rFonts w:ascii="Times New Roman" w:hAnsi="Times New Roman"/>
          <w:b/>
          <w:sz w:val="28"/>
        </w:rPr>
        <w:t>6</w:t>
      </w:r>
      <w:r w:rsidRPr="00A26DA4">
        <w:rPr>
          <w:rFonts w:ascii="Times New Roman" w:hAnsi="Times New Roman"/>
          <w:b/>
          <w:sz w:val="28"/>
        </w:rPr>
        <w:t>. Conclusion</w:t>
      </w:r>
    </w:p>
    <w:p w14:paraId="113D9DC9" w14:textId="5CD79E4B" w:rsidR="00A6323F" w:rsidRPr="00A26DA4" w:rsidRDefault="00A6323F" w:rsidP="00A6323F">
      <w:pPr>
        <w:pStyle w:val="IOPAbsText"/>
        <w:ind w:right="14" w:firstLine="230"/>
        <w:jc w:val="both"/>
        <w:rPr>
          <w:noProof/>
          <w:sz w:val="24"/>
          <w:szCs w:val="28"/>
        </w:rPr>
      </w:pPr>
      <w:r w:rsidRPr="00A26DA4">
        <w:rPr>
          <w:noProof/>
          <w:sz w:val="24"/>
          <w:szCs w:val="28"/>
        </w:rPr>
        <w:t xml:space="preserve">The addition of pharmacist counseling on new antineoplastics in the inpatient setting is feasible and beneficial, it enables pharmacists to proactively identify supportive care needs and manage adverse reactions. </w:t>
      </w:r>
      <w:r w:rsidR="009373DA" w:rsidRPr="009373DA">
        <w:rPr>
          <w:noProof/>
          <w:sz w:val="24"/>
          <w:szCs w:val="28"/>
        </w:rPr>
        <w:t>The lack of available educational resources was a barrier, but there are opportunities to develop internal educational materials to overcome this.</w:t>
      </w:r>
      <w:r w:rsidRPr="009373DA">
        <w:rPr>
          <w:noProof/>
          <w:sz w:val="24"/>
          <w:szCs w:val="28"/>
        </w:rPr>
        <w:t xml:space="preserve"> </w:t>
      </w:r>
      <w:r w:rsidRPr="00A26DA4">
        <w:rPr>
          <w:noProof/>
          <w:sz w:val="24"/>
          <w:szCs w:val="28"/>
        </w:rPr>
        <w:t xml:space="preserve">Further studies would be beneficial to evaluate the impact on patient perceptions, readmissions, and outpatient follow-up adherence. </w:t>
      </w:r>
    </w:p>
    <w:p w14:paraId="03DAD787" w14:textId="77777777" w:rsidR="00A6323F" w:rsidRPr="00A975EF" w:rsidRDefault="00A6323F" w:rsidP="00A6323F">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7D8B0FA9" w14:textId="77777777" w:rsidR="00A6323F" w:rsidRPr="00A975EF" w:rsidRDefault="00A6323F" w:rsidP="00A6323F">
      <w:pPr>
        <w:pStyle w:val="IOPText"/>
        <w:ind w:firstLine="230"/>
        <w:rPr>
          <w:noProof/>
          <w:sz w:val="24"/>
          <w:szCs w:val="28"/>
        </w:rPr>
      </w:pPr>
      <w:r w:rsidRPr="00A975EF">
        <w:rPr>
          <w:noProof/>
          <w:sz w:val="24"/>
          <w:szCs w:val="28"/>
        </w:rPr>
        <w:t>The author</w:t>
      </w:r>
      <w:r>
        <w:rPr>
          <w:noProof/>
          <w:sz w:val="24"/>
          <w:szCs w:val="28"/>
        </w:rPr>
        <w:t>s</w:t>
      </w:r>
      <w:r w:rsidRPr="00A975EF">
        <w:rPr>
          <w:noProof/>
          <w:sz w:val="24"/>
          <w:szCs w:val="28"/>
        </w:rPr>
        <w:t xml:space="preserve"> </w:t>
      </w:r>
      <w:r>
        <w:rPr>
          <w:noProof/>
          <w:sz w:val="24"/>
          <w:szCs w:val="28"/>
        </w:rPr>
        <w:t xml:space="preserve">of this manuscript have nothing to disclose and </w:t>
      </w:r>
      <w:r w:rsidRPr="00A975EF">
        <w:rPr>
          <w:noProof/>
          <w:sz w:val="24"/>
          <w:szCs w:val="28"/>
        </w:rPr>
        <w:t>declare</w:t>
      </w:r>
      <w:r>
        <w:rPr>
          <w:noProof/>
          <w:sz w:val="24"/>
          <w:szCs w:val="28"/>
        </w:rPr>
        <w:t xml:space="preserve"> no conflicts of interest.</w:t>
      </w:r>
    </w:p>
    <w:p w14:paraId="5AE4BA62" w14:textId="77777777" w:rsidR="00A6323F" w:rsidRPr="00A975EF" w:rsidRDefault="00A6323F" w:rsidP="00A6323F">
      <w:pPr>
        <w:pStyle w:val="IOPH1"/>
        <w:rPr>
          <w:rFonts w:ascii="Times New Roman" w:hAnsi="Times New Roman"/>
          <w:noProof/>
          <w:sz w:val="28"/>
          <w:szCs w:val="22"/>
        </w:rPr>
      </w:pPr>
      <w:r w:rsidRPr="00A975EF">
        <w:rPr>
          <w:rFonts w:ascii="Times New Roman" w:hAnsi="Times New Roman"/>
          <w:noProof/>
          <w:sz w:val="28"/>
          <w:szCs w:val="22"/>
        </w:rPr>
        <w:t>Acknowledgements</w:t>
      </w:r>
    </w:p>
    <w:p w14:paraId="13CF2256" w14:textId="7587265C" w:rsidR="00A6323F" w:rsidRPr="00A975EF" w:rsidRDefault="00A6323F" w:rsidP="00A6323F">
      <w:pPr>
        <w:pStyle w:val="IOPText"/>
        <w:ind w:firstLine="230"/>
        <w:rPr>
          <w:noProof/>
          <w:sz w:val="24"/>
          <w:szCs w:val="28"/>
        </w:rPr>
      </w:pPr>
      <w:r w:rsidRPr="00A975EF">
        <w:rPr>
          <w:noProof/>
          <w:sz w:val="24"/>
          <w:szCs w:val="28"/>
        </w:rPr>
        <w:t xml:space="preserve">The author </w:t>
      </w:r>
      <w:r>
        <w:rPr>
          <w:noProof/>
          <w:sz w:val="24"/>
          <w:szCs w:val="28"/>
        </w:rPr>
        <w:t>may provide acknowledgements for contributions</w:t>
      </w:r>
      <w:r w:rsidR="00095D9A">
        <w:rPr>
          <w:noProof/>
          <w:sz w:val="24"/>
          <w:szCs w:val="28"/>
        </w:rPr>
        <w:t>.</w:t>
      </w:r>
      <w:r w:rsidRPr="00A975EF">
        <w:rPr>
          <w:noProof/>
          <w:sz w:val="24"/>
          <w:szCs w:val="28"/>
        </w:rPr>
        <w:t xml:space="preserve"> </w:t>
      </w:r>
    </w:p>
    <w:p w14:paraId="0C6503D4" w14:textId="77777777" w:rsidR="00A6323F" w:rsidRPr="00A975EF" w:rsidRDefault="00A6323F" w:rsidP="00A6323F">
      <w:pPr>
        <w:pStyle w:val="IOPH1"/>
        <w:rPr>
          <w:rFonts w:ascii="Times New Roman" w:hAnsi="Times New Roman"/>
          <w:noProof/>
          <w:sz w:val="28"/>
          <w:szCs w:val="22"/>
        </w:rPr>
      </w:pPr>
      <w:r w:rsidRPr="00A975EF">
        <w:rPr>
          <w:rFonts w:ascii="Times New Roman" w:hAnsi="Times New Roman"/>
          <w:noProof/>
          <w:sz w:val="28"/>
          <w:szCs w:val="22"/>
        </w:rPr>
        <w:t>References</w:t>
      </w:r>
    </w:p>
    <w:p w14:paraId="1A50938A" w14:textId="77777777" w:rsidR="00A6323F" w:rsidRPr="00892C52"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892C52">
        <w:rPr>
          <w:rFonts w:ascii="Times New Roman" w:hAnsi="Times New Roman" w:cs="Arial"/>
          <w:noProof/>
          <w:color w:val="212121"/>
          <w:sz w:val="18"/>
          <w:shd w:val="clear" w:color="auto" w:fill="FFFFFF"/>
          <w:lang w:val="en-US"/>
        </w:rPr>
        <w:t>Okumura LM, Rotta I, Correr CJ. Assessment of pharmacist-led patient counseling in randomized controlled trials: a systematic review. Int J Clin Pharm. 2014 Oct;36(5.</w:t>
      </w:r>
    </w:p>
    <w:p w14:paraId="2038DF77" w14:textId="77777777" w:rsidR="00A6323F" w:rsidRPr="00892C52"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892C52">
        <w:rPr>
          <w:rFonts w:ascii="Times New Roman" w:hAnsi="Times New Roman" w:cs="Arial"/>
          <w:noProof/>
          <w:color w:val="212121"/>
          <w:sz w:val="18"/>
          <w:shd w:val="clear" w:color="auto" w:fill="FFFFFF"/>
          <w:lang w:val="en-US"/>
        </w:rPr>
        <w:t>Lee JJ, Longcoy LH, Tai CY. Symptom Distress and Quality of Life in Women With Newly Diagnosed Ovarian Cancer Undergoing Chemotherapy: A Longitudinal Approach. Clin J Oncol Nurs. 2022 Nov 18;26(6):643-650. doi: 10.1188/22.CJON.643-650. PMID: 36413716.</w:t>
      </w:r>
    </w:p>
    <w:p w14:paraId="40E192E6" w14:textId="77777777" w:rsidR="00A6323F" w:rsidRPr="00892C52"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892C52">
        <w:rPr>
          <w:rFonts w:ascii="Times New Roman" w:hAnsi="Times New Roman" w:cs="Arial"/>
          <w:noProof/>
          <w:color w:val="212121"/>
          <w:sz w:val="18"/>
          <w:shd w:val="clear" w:color="auto" w:fill="FFFFFF"/>
          <w:lang w:val="en-US"/>
        </w:rPr>
        <w:t>Periasamy U, Mohd Sidik S, Rampal L, Fadhilah SI, Akhtari-Zavare M, Mahmud R. Effect of chemotherapy counseling by pharmacists on quality of life and psychological outcomes of oncology patients in Malaysia: a randomized control trial. Health Qual Life Outcomes. 2017 May 15;15(1):104. doi: 10.1186/s12955-017-0680-2. PMID: 28506305; PMCID: PMC5433062.</w:t>
      </w:r>
    </w:p>
    <w:p w14:paraId="28CD6403" w14:textId="77777777" w:rsidR="00A6323F" w:rsidRPr="00892C52"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892C52">
        <w:rPr>
          <w:rFonts w:ascii="Times New Roman" w:hAnsi="Times New Roman" w:cs="Arial"/>
          <w:noProof/>
          <w:color w:val="212121"/>
          <w:sz w:val="18"/>
          <w:shd w:val="clear" w:color="auto" w:fill="FFFFFF"/>
          <w:lang w:val="en-US"/>
        </w:rPr>
        <w:t>Staynova R, Gavazova E, Kafalova D. Clinical Pharmacist-Led Interventions for Improving Breast Cancer Management-A Scoping Review. Curr Oncol. 2024 Jul 25;31(8):4178-4191. doi: 10.3390/curroncol31080312. PMID: 39195295; PMCID: PMC11352950.</w:t>
      </w:r>
    </w:p>
    <w:p w14:paraId="00F775F4" w14:textId="77777777" w:rsidR="00A6323F"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892C52">
        <w:rPr>
          <w:rFonts w:ascii="Times New Roman" w:hAnsi="Times New Roman" w:cs="Arial"/>
          <w:noProof/>
          <w:color w:val="212121"/>
          <w:sz w:val="18"/>
          <w:shd w:val="clear" w:color="auto" w:fill="FFFFFF"/>
          <w:lang w:val="en-US"/>
        </w:rPr>
        <w:t xml:space="preserve">Sebring EJ, Rudisill MA, Bates JS, Auten JJ, Urick BY, Clark SM. An Evaluation of the Effect of Pharmacist-Led Comprehensive Chemotherapy Consultation Services on Outpatient Appointment Adherence. J Manag Care Spec Pharm. 2020 Jun;26(6):723-727. doi: </w:t>
      </w:r>
      <w:r w:rsidRPr="00892C52">
        <w:rPr>
          <w:rFonts w:ascii="Times New Roman" w:hAnsi="Times New Roman" w:cs="Arial"/>
          <w:noProof/>
          <w:color w:val="212121"/>
          <w:sz w:val="18"/>
          <w:shd w:val="clear" w:color="auto" w:fill="FFFFFF"/>
          <w:lang w:val="en-US"/>
        </w:rPr>
        <w:lastRenderedPageBreak/>
        <w:t>10.18553/jmcp.2020.26.6.723. PMID: 32463774; PMCID: PMC10391053.</w:t>
      </w:r>
    </w:p>
    <w:p w14:paraId="6EC03538" w14:textId="100DEADA" w:rsidR="005223F4" w:rsidRPr="00CD5121" w:rsidRDefault="00A6323F" w:rsidP="00A6323F">
      <w:pPr>
        <w:numPr>
          <w:ilvl w:val="0"/>
          <w:numId w:val="3"/>
        </w:numPr>
        <w:spacing w:after="0" w:line="240" w:lineRule="auto"/>
        <w:rPr>
          <w:rFonts w:ascii="Times New Roman" w:hAnsi="Times New Roman" w:cs="Arial"/>
          <w:noProof/>
          <w:color w:val="212121"/>
          <w:sz w:val="18"/>
          <w:shd w:val="clear" w:color="auto" w:fill="FFFFFF"/>
          <w:lang w:val="en-US"/>
        </w:rPr>
      </w:pPr>
      <w:r w:rsidRPr="00A6323F">
        <w:rPr>
          <w:rFonts w:ascii="Times New Roman" w:hAnsi="Times New Roman" w:cs="Arial"/>
          <w:noProof/>
          <w:color w:val="212121"/>
          <w:sz w:val="18"/>
          <w:shd w:val="clear" w:color="auto" w:fill="FFFFFF"/>
        </w:rPr>
        <w:t>Tanaka K, Hori A, Tachi T, Osawa T, Nagaya K, Makino T, Inoue S, Yasuda M, Mizui T, Nakada T, Goto C, Teramachi H. Impact of pharmacist counseling on reducing instances of adverse events that can affect the quality of life of chemotherapy outpatients with breast Cancer. J Pharm Health Care Sci. 2018 Apr 30;4:9. doi: 10.1186/s40780-018-0105-3. PMID: 29736254; PMCID: PMC5925838</w:t>
      </w:r>
    </w:p>
    <w:p w14:paraId="16ABEF94" w14:textId="77777777" w:rsidR="00CD5121" w:rsidRDefault="00CD5121" w:rsidP="00CD5121">
      <w:pPr>
        <w:spacing w:after="0" w:line="240" w:lineRule="auto"/>
        <w:rPr>
          <w:rFonts w:ascii="Times New Roman" w:hAnsi="Times New Roman" w:cs="Arial"/>
          <w:noProof/>
          <w:color w:val="212121"/>
          <w:sz w:val="18"/>
          <w:shd w:val="clear" w:color="auto" w:fill="FFFFFF"/>
        </w:rPr>
      </w:pPr>
    </w:p>
    <w:p w14:paraId="34BE5BFC" w14:textId="7AFF8BE7" w:rsidR="00CD5121" w:rsidRDefault="00CD5121" w:rsidP="00CD5121">
      <w:pPr>
        <w:spacing w:after="0" w:line="240" w:lineRule="auto"/>
        <w:rPr>
          <w:rFonts w:ascii="Times New Roman" w:hAnsi="Times New Roman" w:cs="Arial"/>
          <w:noProof/>
          <w:color w:val="212121"/>
          <w:sz w:val="18"/>
          <w:shd w:val="clear" w:color="auto" w:fill="FFFFFF"/>
        </w:rPr>
      </w:pPr>
      <w:r>
        <w:rPr>
          <w:rFonts w:ascii="Times New Roman" w:hAnsi="Times New Roman" w:cs="Arial"/>
          <w:noProof/>
          <w:color w:val="212121"/>
          <w:sz w:val="18"/>
          <w:shd w:val="clear" w:color="auto" w:fill="FFFFFF"/>
        </w:rPr>
        <w:t xml:space="preserve">Figures: </w:t>
      </w:r>
    </w:p>
    <w:p w14:paraId="25777446" w14:textId="77777777" w:rsidR="00CD5121" w:rsidRDefault="00CD5121" w:rsidP="00CD5121">
      <w:pPr>
        <w:spacing w:after="0" w:line="240" w:lineRule="auto"/>
        <w:rPr>
          <w:rFonts w:ascii="Times New Roman" w:hAnsi="Times New Roman" w:cs="Arial"/>
          <w:noProof/>
          <w:color w:val="212121"/>
          <w:sz w:val="18"/>
          <w:shd w:val="clear" w:color="auto" w:fill="FFFFFF"/>
        </w:rPr>
      </w:pPr>
    </w:p>
    <w:p w14:paraId="0FA2267C" w14:textId="77777777" w:rsidR="00CD5121" w:rsidRDefault="00CD5121" w:rsidP="00CD5121">
      <w:pPr>
        <w:spacing w:after="0" w:line="240" w:lineRule="auto"/>
        <w:rPr>
          <w:rFonts w:ascii="Times New Roman" w:hAnsi="Times New Roman" w:cs="Arial"/>
          <w:noProof/>
          <w:color w:val="212121"/>
          <w:sz w:val="18"/>
          <w:shd w:val="clear" w:color="auto" w:fill="FFFFFF"/>
        </w:rPr>
      </w:pPr>
    </w:p>
    <w:p w14:paraId="71E4D4D4" w14:textId="72C5CCF6" w:rsidR="00CD5121" w:rsidRDefault="00CD5121" w:rsidP="00CD5121">
      <w:pPr>
        <w:spacing w:after="0" w:line="240" w:lineRule="auto"/>
        <w:rPr>
          <w:rFonts w:ascii="Times New Roman" w:hAnsi="Times New Roman" w:cs="Arial"/>
          <w:noProof/>
          <w:color w:val="212121"/>
          <w:sz w:val="18"/>
          <w:shd w:val="clear" w:color="auto" w:fill="FFFFFF"/>
        </w:rPr>
      </w:pPr>
      <w:r w:rsidRPr="00CA7A7B">
        <w:rPr>
          <w:noProof/>
          <w:sz w:val="24"/>
          <w:szCs w:val="28"/>
        </w:rPr>
        <w:drawing>
          <wp:anchor distT="0" distB="0" distL="114300" distR="114300" simplePos="0" relativeHeight="251659264" behindDoc="1" locked="0" layoutInCell="1" allowOverlap="1" wp14:anchorId="2954F4A0" wp14:editId="3B397052">
            <wp:simplePos x="0" y="0"/>
            <wp:positionH relativeFrom="margin">
              <wp:posOffset>0</wp:posOffset>
            </wp:positionH>
            <wp:positionV relativeFrom="paragraph">
              <wp:posOffset>-635</wp:posOffset>
            </wp:positionV>
            <wp:extent cx="6294475" cy="3423684"/>
            <wp:effectExtent l="0" t="0" r="11430" b="5715"/>
            <wp:wrapNone/>
            <wp:docPr id="1138320318" name="Chart 1">
              <a:extLst xmlns:a="http://schemas.openxmlformats.org/drawingml/2006/main">
                <a:ext uri="{FF2B5EF4-FFF2-40B4-BE49-F238E27FC236}">
                  <a16:creationId xmlns:a16="http://schemas.microsoft.com/office/drawing/2014/main" id="{39A3E8BD-5E07-BA06-7FD4-B2852335C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83F8572" w14:textId="77777777" w:rsidR="0057447B" w:rsidRDefault="0057447B" w:rsidP="00CD5121">
      <w:pPr>
        <w:pStyle w:val="IOPRefs"/>
        <w:numPr>
          <w:ilvl w:val="0"/>
          <w:numId w:val="0"/>
        </w:numPr>
        <w:ind w:left="284" w:hanging="284"/>
        <w:rPr>
          <w:bCs/>
          <w:noProof w:val="0"/>
          <w:sz w:val="24"/>
          <w:szCs w:val="20"/>
        </w:rPr>
      </w:pPr>
    </w:p>
    <w:p w14:paraId="3FA0995F" w14:textId="77777777" w:rsidR="0057447B" w:rsidRDefault="0057447B" w:rsidP="00CD5121">
      <w:pPr>
        <w:pStyle w:val="IOPRefs"/>
        <w:numPr>
          <w:ilvl w:val="0"/>
          <w:numId w:val="0"/>
        </w:numPr>
        <w:ind w:left="284" w:hanging="284"/>
        <w:rPr>
          <w:bCs/>
          <w:noProof w:val="0"/>
          <w:sz w:val="24"/>
          <w:szCs w:val="20"/>
        </w:rPr>
      </w:pPr>
    </w:p>
    <w:p w14:paraId="285ED50E" w14:textId="77777777" w:rsidR="0057447B" w:rsidRDefault="0057447B" w:rsidP="00CD5121">
      <w:pPr>
        <w:pStyle w:val="IOPRefs"/>
        <w:numPr>
          <w:ilvl w:val="0"/>
          <w:numId w:val="0"/>
        </w:numPr>
        <w:ind w:left="284" w:hanging="284"/>
        <w:rPr>
          <w:bCs/>
          <w:noProof w:val="0"/>
          <w:sz w:val="24"/>
          <w:szCs w:val="20"/>
        </w:rPr>
      </w:pPr>
    </w:p>
    <w:p w14:paraId="470FCA7A" w14:textId="77777777" w:rsidR="0057447B" w:rsidRDefault="0057447B" w:rsidP="00CD5121">
      <w:pPr>
        <w:pStyle w:val="IOPRefs"/>
        <w:numPr>
          <w:ilvl w:val="0"/>
          <w:numId w:val="0"/>
        </w:numPr>
        <w:ind w:left="284" w:hanging="284"/>
        <w:rPr>
          <w:bCs/>
          <w:noProof w:val="0"/>
          <w:sz w:val="24"/>
          <w:szCs w:val="20"/>
        </w:rPr>
      </w:pPr>
    </w:p>
    <w:p w14:paraId="401DD1BC" w14:textId="77777777" w:rsidR="0057447B" w:rsidRDefault="0057447B" w:rsidP="00CD5121">
      <w:pPr>
        <w:pStyle w:val="IOPRefs"/>
        <w:numPr>
          <w:ilvl w:val="0"/>
          <w:numId w:val="0"/>
        </w:numPr>
        <w:ind w:left="284" w:hanging="284"/>
        <w:rPr>
          <w:bCs/>
          <w:noProof w:val="0"/>
          <w:sz w:val="24"/>
          <w:szCs w:val="20"/>
        </w:rPr>
      </w:pPr>
    </w:p>
    <w:p w14:paraId="5BA9FF55" w14:textId="77777777" w:rsidR="0057447B" w:rsidRDefault="0057447B" w:rsidP="00CD5121">
      <w:pPr>
        <w:pStyle w:val="IOPRefs"/>
        <w:numPr>
          <w:ilvl w:val="0"/>
          <w:numId w:val="0"/>
        </w:numPr>
        <w:ind w:left="284" w:hanging="284"/>
        <w:rPr>
          <w:bCs/>
          <w:noProof w:val="0"/>
          <w:sz w:val="24"/>
          <w:szCs w:val="20"/>
        </w:rPr>
      </w:pPr>
    </w:p>
    <w:p w14:paraId="7A7F98FF" w14:textId="77777777" w:rsidR="0057447B" w:rsidRDefault="0057447B" w:rsidP="00CD5121">
      <w:pPr>
        <w:pStyle w:val="IOPRefs"/>
        <w:numPr>
          <w:ilvl w:val="0"/>
          <w:numId w:val="0"/>
        </w:numPr>
        <w:ind w:left="284" w:hanging="284"/>
        <w:rPr>
          <w:bCs/>
          <w:noProof w:val="0"/>
          <w:sz w:val="24"/>
          <w:szCs w:val="20"/>
        </w:rPr>
      </w:pPr>
    </w:p>
    <w:p w14:paraId="5DA85D14" w14:textId="77777777" w:rsidR="0057447B" w:rsidRDefault="0057447B" w:rsidP="00CD5121">
      <w:pPr>
        <w:pStyle w:val="IOPRefs"/>
        <w:numPr>
          <w:ilvl w:val="0"/>
          <w:numId w:val="0"/>
        </w:numPr>
        <w:ind w:left="284" w:hanging="284"/>
        <w:rPr>
          <w:bCs/>
          <w:noProof w:val="0"/>
          <w:sz w:val="24"/>
          <w:szCs w:val="20"/>
        </w:rPr>
      </w:pPr>
    </w:p>
    <w:p w14:paraId="0574F9DE" w14:textId="77777777" w:rsidR="0057447B" w:rsidRDefault="0057447B" w:rsidP="00CD5121">
      <w:pPr>
        <w:pStyle w:val="IOPRefs"/>
        <w:numPr>
          <w:ilvl w:val="0"/>
          <w:numId w:val="0"/>
        </w:numPr>
        <w:ind w:left="284" w:hanging="284"/>
        <w:rPr>
          <w:bCs/>
          <w:noProof w:val="0"/>
          <w:sz w:val="24"/>
          <w:szCs w:val="20"/>
        </w:rPr>
      </w:pPr>
    </w:p>
    <w:p w14:paraId="3B7D3C90" w14:textId="77777777" w:rsidR="0057447B" w:rsidRDefault="0057447B" w:rsidP="00CD5121">
      <w:pPr>
        <w:pStyle w:val="IOPRefs"/>
        <w:numPr>
          <w:ilvl w:val="0"/>
          <w:numId w:val="0"/>
        </w:numPr>
        <w:ind w:left="284" w:hanging="284"/>
        <w:rPr>
          <w:bCs/>
          <w:noProof w:val="0"/>
          <w:sz w:val="24"/>
          <w:szCs w:val="20"/>
        </w:rPr>
      </w:pPr>
    </w:p>
    <w:p w14:paraId="7F4F9571" w14:textId="77777777" w:rsidR="0057447B" w:rsidRDefault="0057447B" w:rsidP="00CD5121">
      <w:pPr>
        <w:pStyle w:val="IOPRefs"/>
        <w:numPr>
          <w:ilvl w:val="0"/>
          <w:numId w:val="0"/>
        </w:numPr>
        <w:ind w:left="284" w:hanging="284"/>
        <w:rPr>
          <w:bCs/>
          <w:noProof w:val="0"/>
          <w:sz w:val="24"/>
          <w:szCs w:val="20"/>
        </w:rPr>
      </w:pPr>
    </w:p>
    <w:p w14:paraId="4968CE4A" w14:textId="77777777" w:rsidR="0057447B" w:rsidRDefault="0057447B" w:rsidP="00CD5121">
      <w:pPr>
        <w:pStyle w:val="IOPRefs"/>
        <w:numPr>
          <w:ilvl w:val="0"/>
          <w:numId w:val="0"/>
        </w:numPr>
        <w:ind w:left="284" w:hanging="284"/>
        <w:rPr>
          <w:bCs/>
          <w:noProof w:val="0"/>
          <w:sz w:val="24"/>
          <w:szCs w:val="20"/>
        </w:rPr>
      </w:pPr>
    </w:p>
    <w:p w14:paraId="35CC1987" w14:textId="77777777" w:rsidR="0057447B" w:rsidRDefault="0057447B" w:rsidP="00CD5121">
      <w:pPr>
        <w:pStyle w:val="IOPRefs"/>
        <w:numPr>
          <w:ilvl w:val="0"/>
          <w:numId w:val="0"/>
        </w:numPr>
        <w:ind w:left="284" w:hanging="284"/>
        <w:rPr>
          <w:bCs/>
          <w:noProof w:val="0"/>
          <w:sz w:val="24"/>
          <w:szCs w:val="20"/>
        </w:rPr>
      </w:pPr>
    </w:p>
    <w:p w14:paraId="6F251432" w14:textId="77777777" w:rsidR="0057447B" w:rsidRDefault="0057447B" w:rsidP="00CD5121">
      <w:pPr>
        <w:pStyle w:val="IOPRefs"/>
        <w:numPr>
          <w:ilvl w:val="0"/>
          <w:numId w:val="0"/>
        </w:numPr>
        <w:ind w:left="284" w:hanging="284"/>
        <w:rPr>
          <w:bCs/>
          <w:noProof w:val="0"/>
          <w:sz w:val="24"/>
          <w:szCs w:val="20"/>
        </w:rPr>
      </w:pPr>
    </w:p>
    <w:p w14:paraId="0CAB5BB1" w14:textId="77777777" w:rsidR="0057447B" w:rsidRDefault="0057447B" w:rsidP="00CD5121">
      <w:pPr>
        <w:pStyle w:val="IOPRefs"/>
        <w:numPr>
          <w:ilvl w:val="0"/>
          <w:numId w:val="0"/>
        </w:numPr>
        <w:ind w:left="284" w:hanging="284"/>
        <w:rPr>
          <w:bCs/>
          <w:noProof w:val="0"/>
          <w:sz w:val="24"/>
          <w:szCs w:val="20"/>
        </w:rPr>
      </w:pPr>
    </w:p>
    <w:p w14:paraId="24B0CAEF" w14:textId="77777777" w:rsidR="0057447B" w:rsidRDefault="0057447B" w:rsidP="00CD5121">
      <w:pPr>
        <w:pStyle w:val="IOPRefs"/>
        <w:numPr>
          <w:ilvl w:val="0"/>
          <w:numId w:val="0"/>
        </w:numPr>
        <w:ind w:left="284" w:hanging="284"/>
        <w:rPr>
          <w:bCs/>
          <w:noProof w:val="0"/>
          <w:sz w:val="24"/>
          <w:szCs w:val="20"/>
        </w:rPr>
      </w:pPr>
    </w:p>
    <w:p w14:paraId="39FEA11C" w14:textId="52697918" w:rsidR="0057447B" w:rsidRDefault="00417E13" w:rsidP="00CD5121">
      <w:pPr>
        <w:pStyle w:val="IOPRefs"/>
        <w:numPr>
          <w:ilvl w:val="0"/>
          <w:numId w:val="0"/>
        </w:numPr>
        <w:ind w:left="284" w:hanging="284"/>
        <w:rPr>
          <w:bCs/>
          <w:noProof w:val="0"/>
          <w:sz w:val="24"/>
          <w:szCs w:val="20"/>
        </w:rPr>
      </w:pPr>
      <w:r w:rsidRPr="00417E13">
        <w:rPr>
          <w:rFonts w:cs="Arial"/>
          <w:color w:val="212121"/>
          <w:shd w:val="clear" w:color="auto" w:fill="FFFFFF"/>
          <w:lang w:val="en-US"/>
        </w:rPr>
        <mc:AlternateContent>
          <mc:Choice Requires="wps">
            <w:drawing>
              <wp:anchor distT="45720" distB="45720" distL="114300" distR="114300" simplePos="0" relativeHeight="251663360" behindDoc="0" locked="0" layoutInCell="1" allowOverlap="1" wp14:anchorId="238CD177" wp14:editId="33576ED4">
                <wp:simplePos x="0" y="0"/>
                <wp:positionH relativeFrom="margin">
                  <wp:align>right</wp:align>
                </wp:positionH>
                <wp:positionV relativeFrom="paragraph">
                  <wp:posOffset>323644</wp:posOffset>
                </wp:positionV>
                <wp:extent cx="6261735" cy="1404620"/>
                <wp:effectExtent l="0" t="0" r="5715" b="0"/>
                <wp:wrapSquare wrapText="bothSides"/>
                <wp:docPr id="635453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404620"/>
                        </a:xfrm>
                        <a:prstGeom prst="rect">
                          <a:avLst/>
                        </a:prstGeom>
                        <a:solidFill>
                          <a:srgbClr val="FFFFFF"/>
                        </a:solidFill>
                        <a:ln w="9525">
                          <a:noFill/>
                          <a:miter lim="800000"/>
                          <a:headEnd/>
                          <a:tailEnd/>
                        </a:ln>
                      </wps:spPr>
                      <wps:txbx>
                        <w:txbxContent>
                          <w:p w14:paraId="7143E8D2" w14:textId="4F201A1F" w:rsidR="00417E13" w:rsidRPr="00BA484B" w:rsidRDefault="00417E13" w:rsidP="00417E13">
                            <w:pPr>
                              <w:pStyle w:val="IOPRefs"/>
                              <w:numPr>
                                <w:ilvl w:val="0"/>
                                <w:numId w:val="0"/>
                              </w:numPr>
                              <w:ind w:left="284" w:hanging="284"/>
                              <w:rPr>
                                <w:bCs/>
                                <w:i/>
                                <w:iCs/>
                                <w:noProof w:val="0"/>
                                <w:sz w:val="24"/>
                                <w:szCs w:val="20"/>
                              </w:rPr>
                            </w:pPr>
                            <w:r w:rsidRPr="00BA484B">
                              <w:rPr>
                                <w:bCs/>
                                <w:i/>
                                <w:iCs/>
                                <w:noProof w:val="0"/>
                                <w:sz w:val="24"/>
                                <w:szCs w:val="20"/>
                              </w:rPr>
                              <w:t xml:space="preserve">Figure </w:t>
                            </w:r>
                            <w:r>
                              <w:rPr>
                                <w:bCs/>
                                <w:i/>
                                <w:iCs/>
                                <w:noProof w:val="0"/>
                                <w:sz w:val="24"/>
                                <w:szCs w:val="20"/>
                              </w:rPr>
                              <w:t>1</w:t>
                            </w:r>
                            <w:r w:rsidRPr="00BA484B">
                              <w:rPr>
                                <w:bCs/>
                                <w:i/>
                                <w:iCs/>
                                <w:noProof w:val="0"/>
                                <w:sz w:val="24"/>
                                <w:szCs w:val="20"/>
                              </w:rPr>
                              <w:t xml:space="preserve">: </w:t>
                            </w:r>
                            <w:r>
                              <w:rPr>
                                <w:bCs/>
                                <w:i/>
                                <w:iCs/>
                                <w:noProof w:val="0"/>
                                <w:sz w:val="24"/>
                                <w:szCs w:val="20"/>
                              </w:rPr>
                              <w:t>Additional interventions made as a result of pharmacist counseling</w:t>
                            </w:r>
                            <w:r w:rsidRPr="00BA484B">
                              <w:rPr>
                                <w:bCs/>
                                <w:i/>
                                <w:iCs/>
                                <w:noProof w:val="0"/>
                                <w:sz w:val="24"/>
                                <w:szCs w:val="20"/>
                              </w:rPr>
                              <w:t xml:space="preserve"> </w:t>
                            </w:r>
                          </w:p>
                          <w:p w14:paraId="5547BE18" w14:textId="77777777" w:rsidR="00417E13" w:rsidRDefault="00417E13" w:rsidP="00417E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CD177" id="_x0000_t202" coordsize="21600,21600" o:spt="202" path="m,l,21600r21600,l21600,xe">
                <v:stroke joinstyle="miter"/>
                <v:path gradientshapeok="t" o:connecttype="rect"/>
              </v:shapetype>
              <v:shape id="Text Box 2" o:spid="_x0000_s1026" type="#_x0000_t202" style="position:absolute;left:0;text-align:left;margin-left:441.85pt;margin-top:25.5pt;width:493.0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" stroked="f">
                <v:textbox style="mso-fit-shape-to-text:t">
                  <w:txbxContent>
                    <w:p w14:paraId="7143E8D2" w14:textId="4F201A1F" w:rsidR="00417E13" w:rsidRPr="00BA484B" w:rsidRDefault="00417E13" w:rsidP="00417E13">
                      <w:pPr>
                        <w:pStyle w:val="IOPRefs"/>
                        <w:numPr>
                          <w:ilvl w:val="0"/>
                          <w:numId w:val="0"/>
                        </w:numPr>
                        <w:ind w:left="284" w:hanging="284"/>
                        <w:rPr>
                          <w:bCs/>
                          <w:i/>
                          <w:iCs/>
                          <w:noProof w:val="0"/>
                          <w:sz w:val="24"/>
                          <w:szCs w:val="20"/>
                        </w:rPr>
                      </w:pPr>
                      <w:r w:rsidRPr="00BA484B">
                        <w:rPr>
                          <w:bCs/>
                          <w:i/>
                          <w:iCs/>
                          <w:noProof w:val="0"/>
                          <w:sz w:val="24"/>
                          <w:szCs w:val="20"/>
                        </w:rPr>
                        <w:t xml:space="preserve">Figure </w:t>
                      </w:r>
                      <w:r>
                        <w:rPr>
                          <w:bCs/>
                          <w:i/>
                          <w:iCs/>
                          <w:noProof w:val="0"/>
                          <w:sz w:val="24"/>
                          <w:szCs w:val="20"/>
                        </w:rPr>
                        <w:t>1</w:t>
                      </w:r>
                      <w:r w:rsidRPr="00BA484B">
                        <w:rPr>
                          <w:bCs/>
                          <w:i/>
                          <w:iCs/>
                          <w:noProof w:val="0"/>
                          <w:sz w:val="24"/>
                          <w:szCs w:val="20"/>
                        </w:rPr>
                        <w:t xml:space="preserve">: </w:t>
                      </w:r>
                      <w:r>
                        <w:rPr>
                          <w:bCs/>
                          <w:i/>
                          <w:iCs/>
                          <w:noProof w:val="0"/>
                          <w:sz w:val="24"/>
                          <w:szCs w:val="20"/>
                        </w:rPr>
                        <w:t>Additional interventions made as a result of pharmacist counseling</w:t>
                      </w:r>
                      <w:r w:rsidRPr="00BA484B">
                        <w:rPr>
                          <w:bCs/>
                          <w:i/>
                          <w:iCs/>
                          <w:noProof w:val="0"/>
                          <w:sz w:val="24"/>
                          <w:szCs w:val="20"/>
                        </w:rPr>
                        <w:t xml:space="preserve"> </w:t>
                      </w:r>
                    </w:p>
                    <w:p w14:paraId="5547BE18" w14:textId="77777777" w:rsidR="00417E13" w:rsidRDefault="00417E13" w:rsidP="00417E13"/>
                  </w:txbxContent>
                </v:textbox>
                <w10:wrap type="square" anchorx="margin"/>
              </v:shape>
            </w:pict>
          </mc:Fallback>
        </mc:AlternateContent>
      </w:r>
    </w:p>
    <w:p w14:paraId="1C3A907D" w14:textId="7ABFAEEF" w:rsidR="0057447B" w:rsidRDefault="0057447B" w:rsidP="00CD5121">
      <w:pPr>
        <w:pStyle w:val="IOPRefs"/>
        <w:numPr>
          <w:ilvl w:val="0"/>
          <w:numId w:val="0"/>
        </w:numPr>
        <w:ind w:left="284" w:hanging="284"/>
        <w:rPr>
          <w:bCs/>
          <w:noProof w:val="0"/>
          <w:sz w:val="24"/>
          <w:szCs w:val="20"/>
        </w:rPr>
      </w:pPr>
    </w:p>
    <w:p w14:paraId="36BE4717" w14:textId="48006683" w:rsidR="0057447B" w:rsidRDefault="0057447B">
      <w:pPr>
        <w:spacing w:after="0" w:line="240" w:lineRule="auto"/>
        <w:rPr>
          <w:rFonts w:ascii="Times New Roman" w:hAnsi="Times New Roman" w:cs="Arial"/>
          <w:noProof/>
          <w:color w:val="006FB7"/>
          <w:sz w:val="18"/>
          <w:u w:val="single"/>
          <w:bdr w:val="none" w:sz="0" w:space="0" w:color="auto" w:frame="1"/>
          <w:shd w:val="clear" w:color="auto" w:fill="FFFFFF"/>
        </w:rPr>
      </w:pPr>
      <w:r>
        <w:rPr>
          <w:rFonts w:cs="Arial"/>
          <w:color w:val="006FB7"/>
          <w:u w:val="single"/>
          <w:bdr w:val="none" w:sz="0" w:space="0" w:color="auto" w:frame="1"/>
          <w:shd w:val="clear" w:color="auto" w:fill="FFFFFF"/>
        </w:rPr>
        <w:br w:type="page"/>
      </w:r>
    </w:p>
    <w:p w14:paraId="70357951" w14:textId="3E53E87E" w:rsidR="00CD5121" w:rsidRPr="00CA7A7B" w:rsidRDefault="00417E13" w:rsidP="00CD5121">
      <w:pPr>
        <w:pStyle w:val="IOPRefs"/>
        <w:numPr>
          <w:ilvl w:val="0"/>
          <w:numId w:val="0"/>
        </w:numPr>
        <w:ind w:left="284" w:hanging="284"/>
        <w:rPr>
          <w:bCs/>
          <w:noProof w:val="0"/>
          <w:sz w:val="24"/>
          <w:szCs w:val="20"/>
        </w:rPr>
      </w:pPr>
      <w:r w:rsidRPr="00417E13">
        <w:rPr>
          <w:rFonts w:cs="Arial"/>
          <w:color w:val="212121"/>
          <w:shd w:val="clear" w:color="auto" w:fill="FFFFFF"/>
          <w:lang w:val="en-US"/>
        </w:rPr>
        <w:lastRenderedPageBreak/>
        <mc:AlternateContent>
          <mc:Choice Requires="wps">
            <w:drawing>
              <wp:anchor distT="45720" distB="45720" distL="114300" distR="114300" simplePos="0" relativeHeight="251661312" behindDoc="0" locked="0" layoutInCell="1" allowOverlap="1" wp14:anchorId="3C1AD45B" wp14:editId="3413F224">
                <wp:simplePos x="0" y="0"/>
                <wp:positionH relativeFrom="margin">
                  <wp:align>right</wp:align>
                </wp:positionH>
                <wp:positionV relativeFrom="paragraph">
                  <wp:posOffset>2737529</wp:posOffset>
                </wp:positionV>
                <wp:extent cx="62617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1404620"/>
                        </a:xfrm>
                        <a:prstGeom prst="rect">
                          <a:avLst/>
                        </a:prstGeom>
                        <a:solidFill>
                          <a:srgbClr val="FFFFFF"/>
                        </a:solidFill>
                        <a:ln w="9525">
                          <a:noFill/>
                          <a:miter lim="800000"/>
                          <a:headEnd/>
                          <a:tailEnd/>
                        </a:ln>
                      </wps:spPr>
                      <wps:txbx>
                        <w:txbxContent>
                          <w:p w14:paraId="179A2FC3" w14:textId="77777777" w:rsidR="00417E13" w:rsidRPr="00BA484B" w:rsidRDefault="00417E13" w:rsidP="00417E13">
                            <w:pPr>
                              <w:pStyle w:val="IOPRefs"/>
                              <w:numPr>
                                <w:ilvl w:val="0"/>
                                <w:numId w:val="0"/>
                              </w:numPr>
                              <w:ind w:left="284" w:hanging="284"/>
                              <w:rPr>
                                <w:bCs/>
                                <w:i/>
                                <w:iCs/>
                                <w:noProof w:val="0"/>
                                <w:sz w:val="24"/>
                                <w:szCs w:val="20"/>
                              </w:rPr>
                            </w:pPr>
                            <w:r w:rsidRPr="00BA484B">
                              <w:rPr>
                                <w:bCs/>
                                <w:i/>
                                <w:iCs/>
                                <w:noProof w:val="0"/>
                                <w:sz w:val="24"/>
                                <w:szCs w:val="20"/>
                              </w:rPr>
                              <w:t xml:space="preserve">Figure 2: Day of therapy that counseling was completed </w:t>
                            </w:r>
                          </w:p>
                          <w:p w14:paraId="554D6030" w14:textId="082BE91A" w:rsidR="00417E13" w:rsidRDefault="00417E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AD45B" id="_x0000_s1027" type="#_x0000_t202" style="position:absolute;left:0;text-align:left;margin-left:441.85pt;margin-top:215.55pt;width:493.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hY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ytpxevV9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" stroked="f">
                <v:textbox style="mso-fit-shape-to-text:t">
                  <w:txbxContent>
                    <w:p w14:paraId="179A2FC3" w14:textId="77777777" w:rsidR="00417E13" w:rsidRPr="00BA484B" w:rsidRDefault="00417E13" w:rsidP="00417E13">
                      <w:pPr>
                        <w:pStyle w:val="IOPRefs"/>
                        <w:numPr>
                          <w:ilvl w:val="0"/>
                          <w:numId w:val="0"/>
                        </w:numPr>
                        <w:ind w:left="284" w:hanging="284"/>
                        <w:rPr>
                          <w:bCs/>
                          <w:i/>
                          <w:iCs/>
                          <w:noProof w:val="0"/>
                          <w:sz w:val="24"/>
                          <w:szCs w:val="20"/>
                        </w:rPr>
                      </w:pPr>
                      <w:r w:rsidRPr="00BA484B">
                        <w:rPr>
                          <w:bCs/>
                          <w:i/>
                          <w:iCs/>
                          <w:noProof w:val="0"/>
                          <w:sz w:val="24"/>
                          <w:szCs w:val="20"/>
                        </w:rPr>
                        <w:t xml:space="preserve">Figure 2: Day of therapy that counseling was completed </w:t>
                      </w:r>
                    </w:p>
                    <w:p w14:paraId="554D6030" w14:textId="082BE91A" w:rsidR="00417E13" w:rsidRDefault="00417E13"/>
                  </w:txbxContent>
                </v:textbox>
                <w10:wrap type="square" anchorx="margin"/>
              </v:shape>
            </w:pict>
          </mc:Fallback>
        </mc:AlternateContent>
      </w:r>
      <w:r w:rsidR="0057447B" w:rsidRPr="00D2463C">
        <w:rPr>
          <w:rFonts w:cs="Arial"/>
          <w:color w:val="006FB7"/>
          <w:u w:val="single"/>
          <w:bdr w:val="none" w:sz="0" w:space="0" w:color="auto" w:frame="1"/>
          <w:shd w:val="clear" w:color="auto" w:fill="FFFFFF"/>
        </w:rPr>
        <w:drawing>
          <wp:inline distT="0" distB="0" distL="0" distR="0" wp14:anchorId="467274DE" wp14:editId="7051C87F">
            <wp:extent cx="6220047" cy="2636875"/>
            <wp:effectExtent l="0" t="0" r="9525" b="11430"/>
            <wp:docPr id="2055654378" name="Chart 1">
              <a:extLst xmlns:a="http://schemas.openxmlformats.org/drawingml/2006/main">
                <a:ext uri="{FF2B5EF4-FFF2-40B4-BE49-F238E27FC236}">
                  <a16:creationId xmlns:a16="http://schemas.microsoft.com/office/drawing/2014/main" id="{6F2E93A2-A185-CFB7-4788-32FFCC7D4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D5121" w:rsidRPr="00CA7A7B">
        <w:rPr>
          <w:bCs/>
          <w:noProof w:val="0"/>
          <w:sz w:val="24"/>
          <w:szCs w:val="20"/>
        </w:rPr>
        <w:t xml:space="preserve"> </w:t>
      </w:r>
    </w:p>
    <w:p w14:paraId="21B9CE8B" w14:textId="3AA3FFA4" w:rsidR="00CD5121" w:rsidRPr="00A6323F" w:rsidRDefault="00CD5121" w:rsidP="00CD5121">
      <w:pPr>
        <w:spacing w:after="0" w:line="240" w:lineRule="auto"/>
        <w:rPr>
          <w:rFonts w:ascii="Times New Roman" w:hAnsi="Times New Roman" w:cs="Arial"/>
          <w:noProof/>
          <w:color w:val="212121"/>
          <w:sz w:val="18"/>
          <w:shd w:val="clear" w:color="auto" w:fill="FFFFFF"/>
          <w:lang w:val="en-US"/>
        </w:rPr>
      </w:pPr>
    </w:p>
    <w:sectPr w:rsidR="00CD5121" w:rsidRPr="00A6323F" w:rsidSect="009602A7">
      <w:headerReference w:type="default" r:id="rId15"/>
      <w:footerReference w:type="default" r:id="rId16"/>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8C3C" w14:textId="77777777" w:rsidR="0046326C" w:rsidRDefault="0046326C" w:rsidP="00927301">
      <w:pPr>
        <w:spacing w:after="0" w:line="240" w:lineRule="auto"/>
      </w:pPr>
      <w:r>
        <w:separator/>
      </w:r>
    </w:p>
  </w:endnote>
  <w:endnote w:type="continuationSeparator" w:id="0">
    <w:p w14:paraId="1D156B31" w14:textId="77777777" w:rsidR="0046326C" w:rsidRDefault="0046326C"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7B2C" w14:textId="412994C9"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INSERT DATE</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5B592F">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FABC" w14:textId="718B5A17"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717D41" w:rsidRPr="009602A7">
      <w:rPr>
        <w:rFonts w:ascii="Times New Roman" w:hAnsi="Times New Roman"/>
        <w:sz w:val="20"/>
        <w:szCs w:val="16"/>
      </w:rPr>
      <w:t xml:space="preserve"> Board of Directors </w:t>
    </w:r>
    <w:r w:rsidR="009B3498">
      <w:rPr>
        <w:rFonts w:ascii="Times New Roman" w:hAnsi="Times New Roman"/>
        <w:sz w:val="20"/>
        <w:szCs w:val="16"/>
      </w:rPr>
      <w:t>INSERT DATE</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5B592F">
      <w:rPr>
        <w:rFonts w:ascii="Times New Roman" w:hAnsi="Times New Roman"/>
        <w:noProof/>
        <w:sz w:val="20"/>
        <w:szCs w:val="16"/>
      </w:rPr>
      <w:t>2</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0F0F" w14:textId="77777777" w:rsidR="0046326C" w:rsidRDefault="0046326C" w:rsidP="00927301">
      <w:pPr>
        <w:spacing w:after="0" w:line="240" w:lineRule="auto"/>
      </w:pPr>
      <w:r>
        <w:separator/>
      </w:r>
    </w:p>
  </w:footnote>
  <w:footnote w:type="continuationSeparator" w:id="0">
    <w:p w14:paraId="67348122" w14:textId="77777777" w:rsidR="0046326C" w:rsidRDefault="0046326C"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62CA" w14:textId="49C56D91"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DF311C">
      <w:rPr>
        <w:rFonts w:ascii="Times New Roman" w:hAnsi="Times New Roman"/>
        <w:b/>
      </w:rPr>
      <w:t xml:space="preserve">Inpatient Chemotherapy </w:t>
    </w:r>
    <w:proofErr w:type="spellStart"/>
    <w:r w:rsidR="00DF311C">
      <w:rPr>
        <w:rFonts w:ascii="Times New Roman" w:hAnsi="Times New Roman"/>
        <w:b/>
      </w:rPr>
      <w:t>Counseling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A674" w14:textId="39104754"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A6323F">
      <w:rPr>
        <w:rFonts w:ascii="Times New Roman" w:hAnsi="Times New Roman"/>
        <w:b/>
      </w:rPr>
      <w:t xml:space="preserve">Inpatient Chemotherapy </w:t>
    </w:r>
    <w:proofErr w:type="spellStart"/>
    <w:r w:rsidR="00A6323F">
      <w:rPr>
        <w:rFonts w:ascii="Times New Roman" w:hAnsi="Times New Roman"/>
        <w:b/>
      </w:rPr>
      <w:t>Counseling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93446"/>
    <w:multiLevelType w:val="hybridMultilevel"/>
    <w:tmpl w:val="287C6CE0"/>
    <w:lvl w:ilvl="0" w:tplc="246E0C90">
      <w:start w:val="1"/>
      <w:numFmt w:val="decimal"/>
      <w:lvlText w:val="%1."/>
      <w:lvlJc w:val="left"/>
      <w:pPr>
        <w:tabs>
          <w:tab w:val="num" w:pos="720"/>
        </w:tabs>
        <w:ind w:left="720" w:hanging="360"/>
      </w:pPr>
    </w:lvl>
    <w:lvl w:ilvl="1" w:tplc="32344EBC" w:tentative="1">
      <w:start w:val="1"/>
      <w:numFmt w:val="decimal"/>
      <w:lvlText w:val="%2."/>
      <w:lvlJc w:val="left"/>
      <w:pPr>
        <w:tabs>
          <w:tab w:val="num" w:pos="1440"/>
        </w:tabs>
        <w:ind w:left="1440" w:hanging="360"/>
      </w:pPr>
    </w:lvl>
    <w:lvl w:ilvl="2" w:tplc="D79AE9EE" w:tentative="1">
      <w:start w:val="1"/>
      <w:numFmt w:val="decimal"/>
      <w:lvlText w:val="%3."/>
      <w:lvlJc w:val="left"/>
      <w:pPr>
        <w:tabs>
          <w:tab w:val="num" w:pos="2160"/>
        </w:tabs>
        <w:ind w:left="2160" w:hanging="360"/>
      </w:pPr>
    </w:lvl>
    <w:lvl w:ilvl="3" w:tplc="15444EDA" w:tentative="1">
      <w:start w:val="1"/>
      <w:numFmt w:val="decimal"/>
      <w:lvlText w:val="%4."/>
      <w:lvlJc w:val="left"/>
      <w:pPr>
        <w:tabs>
          <w:tab w:val="num" w:pos="2880"/>
        </w:tabs>
        <w:ind w:left="2880" w:hanging="360"/>
      </w:pPr>
    </w:lvl>
    <w:lvl w:ilvl="4" w:tplc="6208258A" w:tentative="1">
      <w:start w:val="1"/>
      <w:numFmt w:val="decimal"/>
      <w:lvlText w:val="%5."/>
      <w:lvlJc w:val="left"/>
      <w:pPr>
        <w:tabs>
          <w:tab w:val="num" w:pos="3600"/>
        </w:tabs>
        <w:ind w:left="3600" w:hanging="360"/>
      </w:pPr>
    </w:lvl>
    <w:lvl w:ilvl="5" w:tplc="69B00804" w:tentative="1">
      <w:start w:val="1"/>
      <w:numFmt w:val="decimal"/>
      <w:lvlText w:val="%6."/>
      <w:lvlJc w:val="left"/>
      <w:pPr>
        <w:tabs>
          <w:tab w:val="num" w:pos="4320"/>
        </w:tabs>
        <w:ind w:left="4320" w:hanging="360"/>
      </w:pPr>
    </w:lvl>
    <w:lvl w:ilvl="6" w:tplc="E59C554E" w:tentative="1">
      <w:start w:val="1"/>
      <w:numFmt w:val="decimal"/>
      <w:lvlText w:val="%7."/>
      <w:lvlJc w:val="left"/>
      <w:pPr>
        <w:tabs>
          <w:tab w:val="num" w:pos="5040"/>
        </w:tabs>
        <w:ind w:left="5040" w:hanging="360"/>
      </w:pPr>
    </w:lvl>
    <w:lvl w:ilvl="7" w:tplc="05B419E8" w:tentative="1">
      <w:start w:val="1"/>
      <w:numFmt w:val="decimal"/>
      <w:lvlText w:val="%8."/>
      <w:lvlJc w:val="left"/>
      <w:pPr>
        <w:tabs>
          <w:tab w:val="num" w:pos="5760"/>
        </w:tabs>
        <w:ind w:left="5760" w:hanging="360"/>
      </w:pPr>
    </w:lvl>
    <w:lvl w:ilvl="8" w:tplc="3E103702" w:tentative="1">
      <w:start w:val="1"/>
      <w:numFmt w:val="decimal"/>
      <w:lvlText w:val="%9."/>
      <w:lvlJc w:val="left"/>
      <w:pPr>
        <w:tabs>
          <w:tab w:val="num" w:pos="6480"/>
        </w:tabs>
        <w:ind w:left="6480" w:hanging="360"/>
      </w:pPr>
    </w:lvl>
  </w:abstractNum>
  <w:abstractNum w:abstractNumId="1"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619361">
    <w:abstractNumId w:val="2"/>
  </w:num>
  <w:num w:numId="2" w16cid:durableId="496043895">
    <w:abstractNumId w:val="1"/>
  </w:num>
  <w:num w:numId="3" w16cid:durableId="163860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5D9A"/>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920"/>
    <w:rsid w:val="00225F31"/>
    <w:rsid w:val="00227C2A"/>
    <w:rsid w:val="002301B3"/>
    <w:rsid w:val="002311A0"/>
    <w:rsid w:val="00244C14"/>
    <w:rsid w:val="002534A8"/>
    <w:rsid w:val="002643A3"/>
    <w:rsid w:val="002662EB"/>
    <w:rsid w:val="00275970"/>
    <w:rsid w:val="00280E7B"/>
    <w:rsid w:val="0028378B"/>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7E77"/>
    <w:rsid w:val="003449B9"/>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17E13"/>
    <w:rsid w:val="0043171A"/>
    <w:rsid w:val="0043733A"/>
    <w:rsid w:val="0044346F"/>
    <w:rsid w:val="004459BF"/>
    <w:rsid w:val="00446EAC"/>
    <w:rsid w:val="00447A08"/>
    <w:rsid w:val="004525B1"/>
    <w:rsid w:val="004547A7"/>
    <w:rsid w:val="00462356"/>
    <w:rsid w:val="0046326C"/>
    <w:rsid w:val="00475C93"/>
    <w:rsid w:val="00485107"/>
    <w:rsid w:val="004A0458"/>
    <w:rsid w:val="004A0BE2"/>
    <w:rsid w:val="004A3755"/>
    <w:rsid w:val="004A47B2"/>
    <w:rsid w:val="004A75B0"/>
    <w:rsid w:val="004A7D01"/>
    <w:rsid w:val="004B0DD9"/>
    <w:rsid w:val="004B5171"/>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447B"/>
    <w:rsid w:val="005764A0"/>
    <w:rsid w:val="00584ECB"/>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2540"/>
    <w:rsid w:val="006A476B"/>
    <w:rsid w:val="006B0A1E"/>
    <w:rsid w:val="006B1620"/>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3F45"/>
    <w:rsid w:val="00796243"/>
    <w:rsid w:val="007A008C"/>
    <w:rsid w:val="007B181D"/>
    <w:rsid w:val="007B7182"/>
    <w:rsid w:val="007C26D0"/>
    <w:rsid w:val="007C5244"/>
    <w:rsid w:val="007C6BC5"/>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13A3"/>
    <w:rsid w:val="00865D66"/>
    <w:rsid w:val="008700AA"/>
    <w:rsid w:val="008718F0"/>
    <w:rsid w:val="00872C7A"/>
    <w:rsid w:val="00873D13"/>
    <w:rsid w:val="0087550C"/>
    <w:rsid w:val="00875FB3"/>
    <w:rsid w:val="00877196"/>
    <w:rsid w:val="00877314"/>
    <w:rsid w:val="00882AE6"/>
    <w:rsid w:val="00882D44"/>
    <w:rsid w:val="00882DD5"/>
    <w:rsid w:val="00894AF3"/>
    <w:rsid w:val="008A35E2"/>
    <w:rsid w:val="008A519B"/>
    <w:rsid w:val="008A6E7C"/>
    <w:rsid w:val="008B6172"/>
    <w:rsid w:val="008C0C83"/>
    <w:rsid w:val="008C7E57"/>
    <w:rsid w:val="008D59E9"/>
    <w:rsid w:val="008E6068"/>
    <w:rsid w:val="008E71E6"/>
    <w:rsid w:val="008F14E7"/>
    <w:rsid w:val="008F73E0"/>
    <w:rsid w:val="00901201"/>
    <w:rsid w:val="00903A7E"/>
    <w:rsid w:val="00912DF6"/>
    <w:rsid w:val="009136FD"/>
    <w:rsid w:val="00913755"/>
    <w:rsid w:val="0091472D"/>
    <w:rsid w:val="009148F9"/>
    <w:rsid w:val="00927301"/>
    <w:rsid w:val="009373DA"/>
    <w:rsid w:val="009536C0"/>
    <w:rsid w:val="009602A7"/>
    <w:rsid w:val="00970DC9"/>
    <w:rsid w:val="00976E31"/>
    <w:rsid w:val="00982368"/>
    <w:rsid w:val="00985703"/>
    <w:rsid w:val="009936AC"/>
    <w:rsid w:val="009A6A7A"/>
    <w:rsid w:val="009B309E"/>
    <w:rsid w:val="009B3498"/>
    <w:rsid w:val="009C05C9"/>
    <w:rsid w:val="009C3BBE"/>
    <w:rsid w:val="009C7252"/>
    <w:rsid w:val="009D0F2F"/>
    <w:rsid w:val="009E37C6"/>
    <w:rsid w:val="009F4EFA"/>
    <w:rsid w:val="00A028A2"/>
    <w:rsid w:val="00A1575C"/>
    <w:rsid w:val="00A21CD3"/>
    <w:rsid w:val="00A21F21"/>
    <w:rsid w:val="00A220AD"/>
    <w:rsid w:val="00A2380F"/>
    <w:rsid w:val="00A305E3"/>
    <w:rsid w:val="00A378CA"/>
    <w:rsid w:val="00A40AFB"/>
    <w:rsid w:val="00A44ADB"/>
    <w:rsid w:val="00A46243"/>
    <w:rsid w:val="00A51F72"/>
    <w:rsid w:val="00A6323F"/>
    <w:rsid w:val="00A65F30"/>
    <w:rsid w:val="00A829F5"/>
    <w:rsid w:val="00A83CB1"/>
    <w:rsid w:val="00A975EF"/>
    <w:rsid w:val="00AA70FF"/>
    <w:rsid w:val="00AB2691"/>
    <w:rsid w:val="00AB270E"/>
    <w:rsid w:val="00AB5611"/>
    <w:rsid w:val="00AC40A3"/>
    <w:rsid w:val="00AC438C"/>
    <w:rsid w:val="00AC6102"/>
    <w:rsid w:val="00AD1AE6"/>
    <w:rsid w:val="00AD2E45"/>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A484B"/>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5121"/>
    <w:rsid w:val="00CD514B"/>
    <w:rsid w:val="00CE3EE5"/>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DF311C"/>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C55F9"/>
    <w:rsid w:val="00ED78F9"/>
    <w:rsid w:val="00EE040D"/>
    <w:rsid w:val="00EE7B24"/>
    <w:rsid w:val="00EF41B5"/>
    <w:rsid w:val="00EF575A"/>
    <w:rsid w:val="00F14221"/>
    <w:rsid w:val="00F254DE"/>
    <w:rsid w:val="00F3175C"/>
    <w:rsid w:val="00F32AB5"/>
    <w:rsid w:val="00F360F7"/>
    <w:rsid w:val="00F56415"/>
    <w:rsid w:val="00F649AA"/>
    <w:rsid w:val="00F65EB8"/>
    <w:rsid w:val="00F714B6"/>
    <w:rsid w:val="00F74254"/>
    <w:rsid w:val="00F81AB1"/>
    <w:rsid w:val="00F90A49"/>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unhideWhenUsed/>
    <w:rsid w:val="000E312E"/>
    <w:rPr>
      <w:sz w:val="20"/>
      <w:szCs w:val="20"/>
    </w:rPr>
  </w:style>
  <w:style w:type="character" w:customStyle="1" w:styleId="CommentTextChar">
    <w:name w:val="Comment Text Char"/>
    <w:basedOn w:val="DefaultParagraphFont"/>
    <w:link w:val="CommentText"/>
    <w:uiPriority w:val="99"/>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S02\dfsharefs02\PHM\USERS\53777\Amanda%20Project%20Data_FINAL_demograph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02\dfsharefs02\PHM\USERS\53777\Amanda%20Project%20Data_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pivotSource>
    <c:name>[Amanda Project Data_FINAL_demographics.xlsx]Sheet5!PivotTable4</c:name>
    <c:fmtId val="-1"/>
  </c:pivotSource>
  <c:chart>
    <c:autoTitleDeleted val="1"/>
    <c:pivotFmts>
      <c:pivotFmt>
        <c:idx val="0"/>
        <c:spPr>
          <a:solidFill>
            <a:schemeClr val="dk1">
              <a:tint val="885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dk1">
              <a:tint val="885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dk1">
              <a:tint val="885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Sheet5!$A$4:$A$9</c:f>
              <c:strCache>
                <c:ptCount val="5"/>
                <c:pt idx="0">
                  <c:v>Adverse drug reaction prevented</c:v>
                </c:pt>
                <c:pt idx="1">
                  <c:v>Disease state w/o pharmacotherapy - other</c:v>
                </c:pt>
                <c:pt idx="2">
                  <c:v>Disease state w/o pharmacotherapy - prophylaxis</c:v>
                </c:pt>
                <c:pt idx="3">
                  <c:v>Drug-drug interaction</c:v>
                </c:pt>
                <c:pt idx="4">
                  <c:v>Outpatient follow-up/logistics</c:v>
                </c:pt>
              </c:strCache>
            </c:strRef>
          </c:cat>
          <c:val>
            <c:numRef>
              <c:f>Sheet5!$B$4:$B$9</c:f>
              <c:numCache>
                <c:formatCode>General</c:formatCode>
                <c:ptCount val="5"/>
                <c:pt idx="0">
                  <c:v>2</c:v>
                </c:pt>
                <c:pt idx="1">
                  <c:v>5</c:v>
                </c:pt>
                <c:pt idx="2">
                  <c:v>4</c:v>
                </c:pt>
                <c:pt idx="3">
                  <c:v>1</c:v>
                </c:pt>
                <c:pt idx="4">
                  <c:v>3</c:v>
                </c:pt>
              </c:numCache>
            </c:numRef>
          </c:val>
          <c:extLst>
            <c:ext xmlns:c16="http://schemas.microsoft.com/office/drawing/2014/chart" uri="{C3380CC4-5D6E-409C-BE32-E72D297353CC}">
              <c16:uniqueId val="{00000000-8EAB-4875-A8F7-6B0AB053A577}"/>
            </c:ext>
          </c:extLst>
        </c:ser>
        <c:dLbls>
          <c:showLegendKey val="0"/>
          <c:showVal val="0"/>
          <c:showCatName val="0"/>
          <c:showSerName val="0"/>
          <c:showPercent val="0"/>
          <c:showBubbleSize val="0"/>
        </c:dLbls>
        <c:gapWidth val="219"/>
        <c:overlap val="9"/>
        <c:axId val="1638774496"/>
        <c:axId val="1638772096"/>
      </c:barChart>
      <c:catAx>
        <c:axId val="16387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38772096"/>
        <c:crosses val="autoZero"/>
        <c:auto val="1"/>
        <c:lblAlgn val="ctr"/>
        <c:lblOffset val="100"/>
        <c:noMultiLvlLbl val="0"/>
      </c:catAx>
      <c:valAx>
        <c:axId val="163877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3877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Sheet1!$D$21:$D$24</c:f>
              <c:strCache>
                <c:ptCount val="4"/>
                <c:pt idx="0">
                  <c:v>Day 1</c:v>
                </c:pt>
                <c:pt idx="1">
                  <c:v>Day 2 </c:v>
                </c:pt>
                <c:pt idx="2">
                  <c:v>Day 3</c:v>
                </c:pt>
                <c:pt idx="3">
                  <c:v>Day 4  + </c:v>
                </c:pt>
              </c:strCache>
            </c:strRef>
          </c:cat>
          <c:val>
            <c:numRef>
              <c:f>Sheet1!$E$21:$E$24</c:f>
              <c:numCache>
                <c:formatCode>General</c:formatCode>
                <c:ptCount val="4"/>
                <c:pt idx="0">
                  <c:v>34</c:v>
                </c:pt>
                <c:pt idx="1">
                  <c:v>5</c:v>
                </c:pt>
                <c:pt idx="2">
                  <c:v>2</c:v>
                </c:pt>
                <c:pt idx="3">
                  <c:v>0</c:v>
                </c:pt>
              </c:numCache>
            </c:numRef>
          </c:val>
          <c:extLst>
            <c:ext xmlns:c16="http://schemas.microsoft.com/office/drawing/2014/chart" uri="{C3380CC4-5D6E-409C-BE32-E72D297353CC}">
              <c16:uniqueId val="{00000000-E770-4451-9C2A-FD12387EF130}"/>
            </c:ext>
          </c:extLst>
        </c:ser>
        <c:dLbls>
          <c:dLblPos val="outEnd"/>
          <c:showLegendKey val="0"/>
          <c:showVal val="1"/>
          <c:showCatName val="0"/>
          <c:showSerName val="0"/>
          <c:showPercent val="0"/>
          <c:showBubbleSize val="0"/>
        </c:dLbls>
        <c:gapWidth val="219"/>
        <c:overlap val="-27"/>
        <c:axId val="261155952"/>
        <c:axId val="261190992"/>
      </c:barChart>
      <c:catAx>
        <c:axId val="26115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1190992"/>
        <c:crosses val="autoZero"/>
        <c:auto val="1"/>
        <c:lblAlgn val="ctr"/>
        <c:lblOffset val="100"/>
        <c:noMultiLvlLbl val="0"/>
      </c:catAx>
      <c:valAx>
        <c:axId val="26119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115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B1FDC-2114-46A0-A065-E6612AF5141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0/xmlns/"/>
    <ds:schemaRef ds:uri="http://www.w3.org/2001/XMLSchema"/>
    <ds:schemaRef ds:uri="7b1a086d-1046-423b-818b-e2fe3b4bdd27"/>
    <ds:schemaRef ds:uri="ef2d8ab9-6557-4a70-afe1-6c5f1feb8807"/>
  </ds:schemaRefs>
</ds:datastoreItem>
</file>

<file path=customXml/itemProps3.xml><?xml version="1.0" encoding="utf-8"?>
<ds:datastoreItem xmlns:ds="http://schemas.openxmlformats.org/officeDocument/2006/customXml" ds:itemID="{DFEEFAA6-1CF3-4AAA-A0B2-E0F30129AC7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78AEEE9-AC45-4FA1-9978-A76AA3BFDEC3}">
  <ds:schemaRefs>
    <ds:schemaRef ds:uri="http://schemas.microsoft.com/sharepoint/v3/contenttype/forms"/>
  </ds:schemaRefs>
</ds:datastoreItem>
</file>

<file path=docMetadata/LabelInfo.xml><?xml version="1.0" encoding="utf-8"?>
<clbl:labelList xmlns:clbl="http://schemas.microsoft.com/office/2020/mipLabelMetadata">
  <clbl:label id="{e0bf4a25-d6ff-4fe0-a6c0-b2381f3b4b35}" enabled="1" method="Standard" siteId="{54115126-19c9-4b52-84ab-b746e438359a}" contentBits="0" removed="0"/>
</clbl:labelList>
</file>

<file path=docProps/app.xml><?xml version="1.0" encoding="utf-8"?>
<Properties xmlns="http://schemas.openxmlformats.org/officeDocument/2006/extended-properties" xmlns:vt="http://schemas.openxmlformats.org/officeDocument/2006/docPropsVTypes">
  <Template>IOPP-WordTemplateLarge.dotx</Template>
  <TotalTime>0</TotalTime>
  <Pages>8</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Amanda Jeppesen</cp:lastModifiedBy>
  <cp:revision>2</cp:revision>
  <dcterms:created xsi:type="dcterms:W3CDTF">2025-06-24T21:11:00Z</dcterms:created>
  <dcterms:modified xsi:type="dcterms:W3CDTF">2025-06-24T21:11:00Z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