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320AE" w14:textId="5F5FFA14" w:rsidR="001B341B" w:rsidRPr="007C154F" w:rsidRDefault="00A163C5" w:rsidP="00A1575C">
      <w:pPr>
        <w:pStyle w:val="IOPTitle"/>
        <w:spacing w:after="360"/>
        <w:rPr>
          <w:rFonts w:ascii="Times New Roman" w:hAnsi="Times New Roman"/>
          <w:sz w:val="24"/>
          <w:szCs w:val="24"/>
        </w:rPr>
      </w:pPr>
      <w:r w:rsidRPr="007C154F">
        <w:rPr>
          <w:rStyle w:val="IOPTitleChar"/>
          <w:rFonts w:ascii="Times New Roman" w:hAnsi="Times New Roman"/>
          <w:b/>
          <w:sz w:val="24"/>
          <w:szCs w:val="24"/>
        </w:rPr>
        <w:t>Evaluation of a pediatric ceftriaxone dose rounding protocol on time to administration in an emergency department</w:t>
      </w:r>
    </w:p>
    <w:p w14:paraId="6C897B70" w14:textId="79F9DE11" w:rsidR="00D43152" w:rsidRPr="007C154F" w:rsidRDefault="001C639B" w:rsidP="00717D41">
      <w:pPr>
        <w:pStyle w:val="IOPAuthor"/>
        <w:spacing w:after="0"/>
        <w:rPr>
          <w:rFonts w:ascii="Times New Roman" w:hAnsi="Times New Roman"/>
          <w:sz w:val="24"/>
          <w:szCs w:val="24"/>
          <w:vertAlign w:val="superscript"/>
        </w:rPr>
      </w:pPr>
      <w:r w:rsidRPr="007C154F">
        <w:rPr>
          <w:rFonts w:ascii="Times New Roman" w:hAnsi="Times New Roman"/>
          <w:sz w:val="24"/>
          <w:szCs w:val="24"/>
        </w:rPr>
        <w:t xml:space="preserve">Ricardo </w:t>
      </w:r>
      <w:proofErr w:type="spellStart"/>
      <w:r w:rsidRPr="007C154F">
        <w:rPr>
          <w:rFonts w:ascii="Times New Roman" w:hAnsi="Times New Roman"/>
          <w:sz w:val="24"/>
          <w:szCs w:val="24"/>
        </w:rPr>
        <w:t>Agui</w:t>
      </w:r>
      <w:r w:rsidR="0090660F" w:rsidRPr="007C154F">
        <w:rPr>
          <w:rFonts w:ascii="Times New Roman" w:hAnsi="Times New Roman"/>
          <w:sz w:val="24"/>
          <w:szCs w:val="24"/>
        </w:rPr>
        <w:t>r</w:t>
      </w:r>
      <w:r w:rsidRPr="007C154F">
        <w:rPr>
          <w:rFonts w:ascii="Times New Roman" w:hAnsi="Times New Roman"/>
          <w:sz w:val="24"/>
          <w:szCs w:val="24"/>
        </w:rPr>
        <w:t>re-escobar</w:t>
      </w:r>
      <w:proofErr w:type="spellEnd"/>
      <w:r w:rsidRPr="007C154F">
        <w:rPr>
          <w:rFonts w:ascii="Times New Roman" w:hAnsi="Times New Roman"/>
          <w:sz w:val="24"/>
          <w:szCs w:val="24"/>
        </w:rPr>
        <w:t>,</w:t>
      </w:r>
      <w:r w:rsidR="00A207DB" w:rsidRPr="007C154F">
        <w:rPr>
          <w:rFonts w:ascii="Times New Roman" w:hAnsi="Times New Roman"/>
          <w:sz w:val="24"/>
          <w:szCs w:val="24"/>
        </w:rPr>
        <w:t xml:space="preserve"> PharmD</w:t>
      </w:r>
    </w:p>
    <w:p w14:paraId="41BB6526" w14:textId="06D1CF17" w:rsidR="00D74B07" w:rsidRPr="007C154F" w:rsidRDefault="00326AE9" w:rsidP="00717D41">
      <w:pPr>
        <w:pStyle w:val="IOPAff"/>
        <w:rPr>
          <w:sz w:val="24"/>
          <w:szCs w:val="24"/>
        </w:rPr>
      </w:pPr>
      <w:r w:rsidRPr="007C154F">
        <w:rPr>
          <w:sz w:val="24"/>
          <w:szCs w:val="24"/>
        </w:rPr>
        <w:t>Renown Regional Medical Center</w:t>
      </w:r>
      <w:r w:rsidR="00FD097F" w:rsidRPr="007C154F">
        <w:rPr>
          <w:sz w:val="24"/>
          <w:szCs w:val="24"/>
        </w:rPr>
        <w:t>,</w:t>
      </w:r>
      <w:r w:rsidR="00D759ED" w:rsidRPr="007C154F">
        <w:rPr>
          <w:sz w:val="24"/>
          <w:szCs w:val="24"/>
        </w:rPr>
        <w:t xml:space="preserve"> </w:t>
      </w:r>
      <w:r w:rsidRPr="007C154F">
        <w:rPr>
          <w:sz w:val="24"/>
          <w:szCs w:val="24"/>
        </w:rPr>
        <w:t>Reno</w:t>
      </w:r>
      <w:r w:rsidR="00FD097F" w:rsidRPr="007C154F">
        <w:rPr>
          <w:sz w:val="24"/>
          <w:szCs w:val="24"/>
        </w:rPr>
        <w:t>, Nevada</w:t>
      </w:r>
    </w:p>
    <w:p w14:paraId="4946AE69" w14:textId="1BC00FA5" w:rsidR="00717D41" w:rsidRPr="007C154F" w:rsidRDefault="00717D41" w:rsidP="00717D41">
      <w:pPr>
        <w:pStyle w:val="IOPAff"/>
        <w:rPr>
          <w:sz w:val="24"/>
          <w:szCs w:val="24"/>
        </w:rPr>
      </w:pPr>
    </w:p>
    <w:p w14:paraId="73547498" w14:textId="473019E7" w:rsidR="00FD097F" w:rsidRPr="007C154F" w:rsidRDefault="00326AE9" w:rsidP="00D43152">
      <w:pPr>
        <w:pStyle w:val="IOPAff"/>
        <w:rPr>
          <w:b/>
          <w:sz w:val="24"/>
          <w:szCs w:val="24"/>
        </w:rPr>
      </w:pPr>
      <w:r w:rsidRPr="007C154F">
        <w:rPr>
          <w:b/>
          <w:sz w:val="24"/>
          <w:szCs w:val="24"/>
        </w:rPr>
        <w:t>Heather Townsend</w:t>
      </w:r>
      <w:r w:rsidR="00FD097F" w:rsidRPr="007C154F">
        <w:rPr>
          <w:b/>
          <w:sz w:val="24"/>
          <w:szCs w:val="24"/>
        </w:rPr>
        <w:t>, PharmD, BCPS</w:t>
      </w:r>
      <w:r w:rsidR="00971293" w:rsidRPr="007C154F">
        <w:rPr>
          <w:b/>
          <w:sz w:val="24"/>
          <w:szCs w:val="24"/>
        </w:rPr>
        <w:t>,</w:t>
      </w:r>
      <w:r w:rsidR="00FD097F" w:rsidRPr="007C154F">
        <w:rPr>
          <w:b/>
          <w:sz w:val="24"/>
          <w:szCs w:val="24"/>
        </w:rPr>
        <w:t xml:space="preserve"> </w:t>
      </w:r>
      <w:r w:rsidR="00971293" w:rsidRPr="007C154F">
        <w:rPr>
          <w:b/>
          <w:sz w:val="24"/>
          <w:szCs w:val="24"/>
        </w:rPr>
        <w:t>BCCP</w:t>
      </w:r>
    </w:p>
    <w:p w14:paraId="0D42C28F" w14:textId="52B4A4E6" w:rsidR="00D719B6" w:rsidRPr="007C154F" w:rsidRDefault="00971293" w:rsidP="00D43152">
      <w:pPr>
        <w:pStyle w:val="IOPAff"/>
        <w:rPr>
          <w:sz w:val="24"/>
          <w:szCs w:val="24"/>
        </w:rPr>
      </w:pPr>
      <w:r w:rsidRPr="007C154F">
        <w:rPr>
          <w:sz w:val="24"/>
          <w:szCs w:val="24"/>
        </w:rPr>
        <w:t>Renown Regional Medical Center, Reno, Nevada</w:t>
      </w:r>
    </w:p>
    <w:p w14:paraId="02FD7A4B" w14:textId="77777777" w:rsidR="00FD097F" w:rsidRPr="007C154F" w:rsidRDefault="00FD097F" w:rsidP="00D43152">
      <w:pPr>
        <w:pStyle w:val="IOPAff"/>
        <w:rPr>
          <w:sz w:val="24"/>
          <w:szCs w:val="24"/>
        </w:rPr>
      </w:pPr>
    </w:p>
    <w:p w14:paraId="16F9646C" w14:textId="225FC75E" w:rsidR="00FD097F" w:rsidRPr="007C154F" w:rsidRDefault="00971293" w:rsidP="005B592F">
      <w:pPr>
        <w:pStyle w:val="IOPAff"/>
        <w:rPr>
          <w:b/>
          <w:sz w:val="24"/>
          <w:szCs w:val="24"/>
        </w:rPr>
      </w:pPr>
      <w:r w:rsidRPr="007C154F">
        <w:rPr>
          <w:b/>
          <w:sz w:val="24"/>
          <w:szCs w:val="24"/>
        </w:rPr>
        <w:t>Carol Vollme</w:t>
      </w:r>
      <w:r w:rsidR="00AB3928" w:rsidRPr="007C154F">
        <w:rPr>
          <w:b/>
          <w:sz w:val="24"/>
          <w:szCs w:val="24"/>
        </w:rPr>
        <w:t>r-Johnson, PharmD, BCPPS</w:t>
      </w:r>
    </w:p>
    <w:p w14:paraId="042B8529" w14:textId="77777777" w:rsidR="00971293" w:rsidRPr="007C154F" w:rsidRDefault="00971293" w:rsidP="00971293">
      <w:pPr>
        <w:pStyle w:val="IOPAff"/>
        <w:rPr>
          <w:sz w:val="24"/>
          <w:szCs w:val="24"/>
        </w:rPr>
      </w:pPr>
      <w:r w:rsidRPr="007C154F">
        <w:rPr>
          <w:sz w:val="24"/>
          <w:szCs w:val="24"/>
        </w:rPr>
        <w:t>Renown Regional Medical Center, Reno, Nevada</w:t>
      </w:r>
    </w:p>
    <w:p w14:paraId="72B6A560" w14:textId="3765E124" w:rsidR="00D74B07" w:rsidRPr="007C154F" w:rsidRDefault="00D74B07" w:rsidP="00D74B07">
      <w:pPr>
        <w:pStyle w:val="IOPH1"/>
        <w:rPr>
          <w:rFonts w:ascii="Times New Roman" w:hAnsi="Times New Roman"/>
          <w:sz w:val="24"/>
          <w:szCs w:val="24"/>
          <w:u w:val="single"/>
        </w:rPr>
      </w:pPr>
      <w:r w:rsidRPr="007C154F">
        <w:rPr>
          <w:rFonts w:ascii="Times New Roman" w:hAnsi="Times New Roman"/>
          <w:sz w:val="24"/>
          <w:szCs w:val="24"/>
          <w:u w:val="single"/>
        </w:rPr>
        <w:t>Abstract</w:t>
      </w:r>
      <w:r w:rsidR="00A975EF" w:rsidRPr="007C154F">
        <w:rPr>
          <w:rFonts w:ascii="Times New Roman" w:hAnsi="Times New Roman"/>
          <w:sz w:val="24"/>
          <w:szCs w:val="24"/>
          <w:u w:val="single"/>
        </w:rPr>
        <w:t>:</w:t>
      </w:r>
    </w:p>
    <w:p w14:paraId="743BB6CD" w14:textId="77777777" w:rsidR="00E00596" w:rsidRPr="00360C87" w:rsidRDefault="000301B2" w:rsidP="001846C4">
      <w:pPr>
        <w:pStyle w:val="IOPAbsText"/>
        <w:ind w:right="12"/>
        <w:rPr>
          <w:b/>
          <w:bCs/>
          <w:noProof/>
          <w:sz w:val="22"/>
        </w:rPr>
      </w:pPr>
      <w:r w:rsidRPr="00360C87">
        <w:rPr>
          <w:b/>
          <w:bCs/>
          <w:noProof/>
          <w:sz w:val="22"/>
        </w:rPr>
        <w:t>Background</w:t>
      </w:r>
      <w:r w:rsidR="00894AF3" w:rsidRPr="00360C87">
        <w:rPr>
          <w:b/>
          <w:bCs/>
          <w:noProof/>
          <w:sz w:val="22"/>
        </w:rPr>
        <w:t xml:space="preserve">  </w:t>
      </w:r>
    </w:p>
    <w:p w14:paraId="6CE2A746" w14:textId="0A6513AF" w:rsidR="00503984" w:rsidRPr="00360C87" w:rsidRDefault="00503984" w:rsidP="00A23482">
      <w:pPr>
        <w:pStyle w:val="IOPAbsText"/>
        <w:ind w:right="14"/>
        <w:rPr>
          <w:sz w:val="22"/>
        </w:rPr>
      </w:pPr>
      <w:r w:rsidRPr="00360C87">
        <w:rPr>
          <w:sz w:val="22"/>
        </w:rPr>
        <w:t xml:space="preserve">Pediatric doses utilize weight-based dosing, which results in doses not available in commercially available products. Dose rounding can round doses to commercially available products, which may be stored in patient care areas and thereby expedite acquisition time. These commercially available products may then be prepared in a patient care area and prepared for administration. In the emergency department (ED), antibiotics are regularly administered empirically. At </w:t>
      </w:r>
      <w:r w:rsidR="00731A88" w:rsidRPr="00360C87">
        <w:rPr>
          <w:sz w:val="22"/>
        </w:rPr>
        <w:t xml:space="preserve">the </w:t>
      </w:r>
      <w:r w:rsidRPr="00360C87">
        <w:rPr>
          <w:sz w:val="22"/>
        </w:rPr>
        <w:t xml:space="preserve">Renown Regional Medical Center (RRMC) ED, ceftriaxone </w:t>
      </w:r>
      <w:r w:rsidR="001D0FB8" w:rsidRPr="00360C87">
        <w:rPr>
          <w:sz w:val="22"/>
        </w:rPr>
        <w:t xml:space="preserve">is used as a </w:t>
      </w:r>
      <w:r w:rsidR="0070401A" w:rsidRPr="00360C87">
        <w:rPr>
          <w:sz w:val="22"/>
        </w:rPr>
        <w:t>broad-spectrum</w:t>
      </w:r>
      <w:r w:rsidR="001D0FB8" w:rsidRPr="00360C87">
        <w:rPr>
          <w:sz w:val="22"/>
        </w:rPr>
        <w:t xml:space="preserve"> cephalosporin for the empiric coverage of various infections. Doses of ceftriaxone </w:t>
      </w:r>
      <w:r w:rsidR="00731A88" w:rsidRPr="00360C87">
        <w:rPr>
          <w:sz w:val="22"/>
        </w:rPr>
        <w:t>were</w:t>
      </w:r>
      <w:r w:rsidR="001D0FB8" w:rsidRPr="00360C87">
        <w:rPr>
          <w:sz w:val="22"/>
        </w:rPr>
        <w:t xml:space="preserve"> prepared at bedside if </w:t>
      </w:r>
      <w:r w:rsidR="005778C0" w:rsidRPr="00360C87">
        <w:rPr>
          <w:sz w:val="22"/>
        </w:rPr>
        <w:t xml:space="preserve">the dose was available </w:t>
      </w:r>
      <w:r w:rsidR="00A23482" w:rsidRPr="00360C87">
        <w:rPr>
          <w:sz w:val="22"/>
        </w:rPr>
        <w:t>commercially</w:t>
      </w:r>
      <w:r w:rsidRPr="00360C87">
        <w:rPr>
          <w:sz w:val="22"/>
        </w:rPr>
        <w:t xml:space="preserve">. Otherwise, doses were prepared in the pharmacy IV room and given as an infusion. Workflow is more intense for doses prepared in the IV room, as this utilizes pharmacy technician hours, a </w:t>
      </w:r>
      <w:proofErr w:type="gramStart"/>
      <w:r w:rsidRPr="00360C87">
        <w:rPr>
          <w:sz w:val="22"/>
        </w:rPr>
        <w:t>double-pharmacist</w:t>
      </w:r>
      <w:proofErr w:type="gramEnd"/>
      <w:r w:rsidRPr="00360C87">
        <w:rPr>
          <w:sz w:val="22"/>
        </w:rPr>
        <w:t xml:space="preserve"> check on the compounded product, and then delivery of the patient specific dose to the patient care area.</w:t>
      </w:r>
    </w:p>
    <w:p w14:paraId="0EEA61AD" w14:textId="77777777" w:rsidR="00A23482" w:rsidRPr="00360C87" w:rsidRDefault="00A23482" w:rsidP="00A23482">
      <w:pPr>
        <w:pStyle w:val="IOPAbsText"/>
        <w:ind w:right="14"/>
        <w:rPr>
          <w:sz w:val="22"/>
        </w:rPr>
      </w:pPr>
    </w:p>
    <w:p w14:paraId="163FE323" w14:textId="77777777" w:rsidR="00E00596" w:rsidRPr="00360C87" w:rsidRDefault="00894AF3" w:rsidP="00E249FB">
      <w:pPr>
        <w:pStyle w:val="IOPAbsText"/>
        <w:ind w:right="12"/>
        <w:rPr>
          <w:noProof/>
          <w:sz w:val="22"/>
        </w:rPr>
      </w:pPr>
      <w:r w:rsidRPr="00360C87">
        <w:rPr>
          <w:b/>
          <w:bCs/>
          <w:noProof/>
          <w:sz w:val="22"/>
        </w:rPr>
        <w:t>Methods</w:t>
      </w:r>
      <w:r w:rsidRPr="00360C87">
        <w:rPr>
          <w:noProof/>
          <w:sz w:val="22"/>
        </w:rPr>
        <w:t xml:space="preserve">  </w:t>
      </w:r>
    </w:p>
    <w:p w14:paraId="330D07C4" w14:textId="54BA9CC5" w:rsidR="00894AF3" w:rsidRPr="00360C87" w:rsidRDefault="000969A5" w:rsidP="004E11FB">
      <w:pPr>
        <w:pStyle w:val="IOPAbsText"/>
        <w:spacing w:after="160"/>
        <w:ind w:right="14"/>
        <w:rPr>
          <w:noProof/>
          <w:sz w:val="22"/>
        </w:rPr>
      </w:pPr>
      <w:r w:rsidRPr="00360C87">
        <w:rPr>
          <w:sz w:val="22"/>
        </w:rPr>
        <w:t xml:space="preserve">This is a </w:t>
      </w:r>
      <w:r w:rsidR="00612DD3" w:rsidRPr="00360C87">
        <w:rPr>
          <w:sz w:val="22"/>
        </w:rPr>
        <w:t>quasi-experimental, retrospec</w:t>
      </w:r>
      <w:r w:rsidRPr="00360C87">
        <w:rPr>
          <w:sz w:val="22"/>
        </w:rPr>
        <w:t>tive</w:t>
      </w:r>
      <w:r w:rsidR="00A70409" w:rsidRPr="00360C87">
        <w:rPr>
          <w:sz w:val="22"/>
        </w:rPr>
        <w:t xml:space="preserve"> study</w:t>
      </w:r>
      <w:r w:rsidRPr="00360C87">
        <w:rPr>
          <w:sz w:val="22"/>
        </w:rPr>
        <w:t xml:space="preserve"> at </w:t>
      </w:r>
      <w:r w:rsidR="00612DD3" w:rsidRPr="00360C87">
        <w:rPr>
          <w:sz w:val="22"/>
        </w:rPr>
        <w:t>RRMC</w:t>
      </w:r>
      <w:r w:rsidRPr="00360C87">
        <w:rPr>
          <w:sz w:val="22"/>
        </w:rPr>
        <w:t xml:space="preserve">. A pharmacy-driven </w:t>
      </w:r>
      <w:r w:rsidR="00612DD3" w:rsidRPr="00360C87">
        <w:rPr>
          <w:sz w:val="22"/>
        </w:rPr>
        <w:t>pediatric dose rounding protocol</w:t>
      </w:r>
      <w:r w:rsidRPr="00360C87">
        <w:rPr>
          <w:sz w:val="22"/>
        </w:rPr>
        <w:t xml:space="preserve"> (See Appendix A) was accepted by The Pharmacy &amp; Therapeutics Committee </w:t>
      </w:r>
      <w:r w:rsidR="00612DD3" w:rsidRPr="00360C87">
        <w:rPr>
          <w:sz w:val="22"/>
        </w:rPr>
        <w:t>i</w:t>
      </w:r>
      <w:r w:rsidRPr="00360C87">
        <w:rPr>
          <w:sz w:val="22"/>
        </w:rPr>
        <w:t>n</w:t>
      </w:r>
      <w:r w:rsidR="00612DD3" w:rsidRPr="00360C87">
        <w:rPr>
          <w:sz w:val="22"/>
        </w:rPr>
        <w:t xml:space="preserve"> Octob</w:t>
      </w:r>
      <w:r w:rsidRPr="00360C87">
        <w:rPr>
          <w:sz w:val="22"/>
        </w:rPr>
        <w:t>er 202</w:t>
      </w:r>
      <w:r w:rsidR="00612DD3" w:rsidRPr="00360C87">
        <w:rPr>
          <w:sz w:val="22"/>
        </w:rPr>
        <w:t>2</w:t>
      </w:r>
      <w:r w:rsidRPr="00360C87">
        <w:rPr>
          <w:sz w:val="22"/>
        </w:rPr>
        <w:t xml:space="preserve"> to </w:t>
      </w:r>
      <w:r w:rsidR="00E87280" w:rsidRPr="00360C87">
        <w:rPr>
          <w:sz w:val="22"/>
        </w:rPr>
        <w:t>round</w:t>
      </w:r>
      <w:r w:rsidR="00AE3321" w:rsidRPr="00360C87">
        <w:rPr>
          <w:sz w:val="22"/>
        </w:rPr>
        <w:t xml:space="preserve"> doses </w:t>
      </w:r>
      <w:r w:rsidR="00E87280" w:rsidRPr="00360C87">
        <w:rPr>
          <w:sz w:val="22"/>
        </w:rPr>
        <w:t xml:space="preserve">in accordance </w:t>
      </w:r>
      <w:r w:rsidR="00AE3321" w:rsidRPr="00360C87">
        <w:rPr>
          <w:sz w:val="22"/>
        </w:rPr>
        <w:t>with product availability, as well as expedite administration time</w:t>
      </w:r>
      <w:r w:rsidRPr="00360C87">
        <w:rPr>
          <w:sz w:val="22"/>
        </w:rPr>
        <w:t xml:space="preserve">. </w:t>
      </w:r>
      <w:r w:rsidR="00AE3321" w:rsidRPr="00360C87">
        <w:rPr>
          <w:sz w:val="22"/>
        </w:rPr>
        <w:t xml:space="preserve">Ceftriaxone is </w:t>
      </w:r>
      <w:r w:rsidR="00B4464A" w:rsidRPr="00360C87">
        <w:rPr>
          <w:sz w:val="22"/>
        </w:rPr>
        <w:t>the only medication from the protocol investigated</w:t>
      </w:r>
      <w:r w:rsidRPr="00360C87">
        <w:rPr>
          <w:sz w:val="22"/>
        </w:rPr>
        <w:t xml:space="preserve">. The </w:t>
      </w:r>
      <w:r w:rsidR="00FF3E9E" w:rsidRPr="00360C87">
        <w:rPr>
          <w:sz w:val="22"/>
        </w:rPr>
        <w:t>review compared a total of 6 months of administrations</w:t>
      </w:r>
      <w:r w:rsidR="000C5C2A" w:rsidRPr="00360C87">
        <w:rPr>
          <w:sz w:val="22"/>
        </w:rPr>
        <w:t xml:space="preserve"> in the pediatric ED</w:t>
      </w:r>
      <w:r w:rsidR="00FF3E9E" w:rsidRPr="00360C87">
        <w:rPr>
          <w:sz w:val="22"/>
        </w:rPr>
        <w:t xml:space="preserve"> – 3 months before </w:t>
      </w:r>
      <w:r w:rsidR="00E41087" w:rsidRPr="00360C87">
        <w:rPr>
          <w:sz w:val="22"/>
        </w:rPr>
        <w:t xml:space="preserve">(pre-implementation) </w:t>
      </w:r>
      <w:r w:rsidR="00FF3E9E" w:rsidRPr="00360C87">
        <w:rPr>
          <w:sz w:val="22"/>
        </w:rPr>
        <w:t xml:space="preserve">and 3 months after </w:t>
      </w:r>
      <w:r w:rsidR="00E41087" w:rsidRPr="00360C87">
        <w:rPr>
          <w:sz w:val="22"/>
        </w:rPr>
        <w:t>(post-implementation) the approval of</w:t>
      </w:r>
      <w:r w:rsidR="00FF3E9E" w:rsidRPr="00360C87">
        <w:rPr>
          <w:sz w:val="22"/>
        </w:rPr>
        <w:t xml:space="preserve"> </w:t>
      </w:r>
      <w:r w:rsidR="0010406C" w:rsidRPr="00360C87">
        <w:rPr>
          <w:sz w:val="22"/>
        </w:rPr>
        <w:t xml:space="preserve">pediatric </w:t>
      </w:r>
      <w:r w:rsidR="00FF3E9E" w:rsidRPr="00360C87">
        <w:rPr>
          <w:sz w:val="22"/>
        </w:rPr>
        <w:t>ceftriaxone dose rounding</w:t>
      </w:r>
      <w:r w:rsidR="00E41087" w:rsidRPr="00360C87">
        <w:rPr>
          <w:sz w:val="22"/>
        </w:rPr>
        <w:t>.</w:t>
      </w:r>
      <w:r w:rsidR="0010406C" w:rsidRPr="00360C87">
        <w:rPr>
          <w:sz w:val="22"/>
        </w:rPr>
        <w:t xml:space="preserve"> </w:t>
      </w:r>
      <w:r w:rsidR="000C5C2A" w:rsidRPr="00360C87">
        <w:rPr>
          <w:sz w:val="22"/>
        </w:rPr>
        <w:t xml:space="preserve">The primary outcome was the time to first administration. Secondary outcomes included adverse events, doses prepared by </w:t>
      </w:r>
      <w:r w:rsidR="00A8366C" w:rsidRPr="00360C87">
        <w:rPr>
          <w:sz w:val="22"/>
        </w:rPr>
        <w:t>the central pharmacy intravenous (IV) room, and in-hospital mortality.</w:t>
      </w:r>
      <w:r w:rsidR="00E41087" w:rsidRPr="00360C87">
        <w:rPr>
          <w:sz w:val="22"/>
        </w:rPr>
        <w:t xml:space="preserve"> </w:t>
      </w:r>
    </w:p>
    <w:p w14:paraId="289CFE8D" w14:textId="7151803F" w:rsidR="00894AF3" w:rsidRPr="00360C87" w:rsidRDefault="00894AF3" w:rsidP="00D74B07">
      <w:pPr>
        <w:pStyle w:val="IOPAbsText"/>
        <w:rPr>
          <w:b/>
          <w:bCs/>
          <w:noProof/>
          <w:sz w:val="22"/>
        </w:rPr>
      </w:pPr>
      <w:r w:rsidRPr="00360C87">
        <w:rPr>
          <w:b/>
          <w:bCs/>
          <w:noProof/>
          <w:sz w:val="22"/>
        </w:rPr>
        <w:t xml:space="preserve">Results  </w:t>
      </w:r>
    </w:p>
    <w:p w14:paraId="7A88DFAA" w14:textId="640F4640" w:rsidR="00894AF3" w:rsidRPr="00360C87" w:rsidRDefault="00A8366C" w:rsidP="004E11FB">
      <w:pPr>
        <w:pStyle w:val="IOPAbsText"/>
        <w:spacing w:after="160"/>
        <w:ind w:right="14"/>
        <w:rPr>
          <w:noProof/>
          <w:sz w:val="22"/>
        </w:rPr>
      </w:pPr>
      <w:r w:rsidRPr="00360C87">
        <w:rPr>
          <w:noProof/>
          <w:sz w:val="22"/>
        </w:rPr>
        <w:t xml:space="preserve">The </w:t>
      </w:r>
      <w:r w:rsidR="00A70409" w:rsidRPr="00360C87">
        <w:rPr>
          <w:noProof/>
          <w:sz w:val="22"/>
        </w:rPr>
        <w:t>study</w:t>
      </w:r>
      <w:r w:rsidR="00905E49" w:rsidRPr="00360C87">
        <w:rPr>
          <w:noProof/>
          <w:sz w:val="22"/>
        </w:rPr>
        <w:t xml:space="preserve"> included </w:t>
      </w:r>
      <w:r w:rsidRPr="00360C87">
        <w:rPr>
          <w:noProof/>
          <w:sz w:val="22"/>
        </w:rPr>
        <w:t>157</w:t>
      </w:r>
      <w:r w:rsidR="00905E49" w:rsidRPr="00360C87">
        <w:rPr>
          <w:noProof/>
          <w:sz w:val="22"/>
        </w:rPr>
        <w:t xml:space="preserve"> patients in the final analysis, </w:t>
      </w:r>
      <w:r w:rsidR="00A70409" w:rsidRPr="00360C87">
        <w:rPr>
          <w:noProof/>
          <w:sz w:val="22"/>
        </w:rPr>
        <w:t>52</w:t>
      </w:r>
      <w:r w:rsidR="00905E49" w:rsidRPr="00360C87">
        <w:rPr>
          <w:noProof/>
          <w:sz w:val="22"/>
        </w:rPr>
        <w:t xml:space="preserve"> in </w:t>
      </w:r>
      <w:r w:rsidR="00A70409" w:rsidRPr="00360C87">
        <w:rPr>
          <w:noProof/>
          <w:sz w:val="22"/>
        </w:rPr>
        <w:t>the pre-implementation group and 105 in the post-implementation group</w:t>
      </w:r>
      <w:r w:rsidR="00905E49" w:rsidRPr="00360C87">
        <w:rPr>
          <w:noProof/>
          <w:sz w:val="22"/>
        </w:rPr>
        <w:t xml:space="preserve">. </w:t>
      </w:r>
      <w:r w:rsidR="00A70409" w:rsidRPr="00360C87">
        <w:rPr>
          <w:noProof/>
          <w:sz w:val="22"/>
        </w:rPr>
        <w:t>There was no difference in the time to administration</w:t>
      </w:r>
      <w:r w:rsidR="00905E49" w:rsidRPr="00360C87">
        <w:rPr>
          <w:noProof/>
          <w:sz w:val="22"/>
        </w:rPr>
        <w:t xml:space="preserve"> (</w:t>
      </w:r>
      <w:r w:rsidR="00A70409" w:rsidRPr="00360C87">
        <w:rPr>
          <w:noProof/>
          <w:sz w:val="22"/>
        </w:rPr>
        <w:t>41.5</w:t>
      </w:r>
      <w:r w:rsidR="00905E49" w:rsidRPr="00360C87">
        <w:rPr>
          <w:noProof/>
          <w:sz w:val="22"/>
        </w:rPr>
        <w:t xml:space="preserve"> </w:t>
      </w:r>
      <w:r w:rsidR="00886AF4" w:rsidRPr="00360C87">
        <w:rPr>
          <w:noProof/>
          <w:sz w:val="22"/>
        </w:rPr>
        <w:t xml:space="preserve">minutes </w:t>
      </w:r>
      <w:r w:rsidR="00905E49" w:rsidRPr="00360C87">
        <w:rPr>
          <w:noProof/>
          <w:sz w:val="22"/>
        </w:rPr>
        <w:t xml:space="preserve">versus </w:t>
      </w:r>
      <w:r w:rsidR="00A70409" w:rsidRPr="00360C87">
        <w:rPr>
          <w:noProof/>
          <w:sz w:val="22"/>
        </w:rPr>
        <w:t>43</w:t>
      </w:r>
      <w:r w:rsidR="00886AF4" w:rsidRPr="00360C87">
        <w:rPr>
          <w:noProof/>
          <w:sz w:val="22"/>
        </w:rPr>
        <w:t xml:space="preserve"> minutes</w:t>
      </w:r>
      <w:r w:rsidR="00905E49" w:rsidRPr="00360C87">
        <w:rPr>
          <w:noProof/>
          <w:sz w:val="22"/>
        </w:rPr>
        <w:t>, p = 0.</w:t>
      </w:r>
      <w:r w:rsidR="00A70409" w:rsidRPr="00360C87">
        <w:rPr>
          <w:noProof/>
          <w:sz w:val="22"/>
        </w:rPr>
        <w:t>48</w:t>
      </w:r>
      <w:r w:rsidR="00905E49" w:rsidRPr="00360C87">
        <w:rPr>
          <w:noProof/>
          <w:sz w:val="22"/>
        </w:rPr>
        <w:t>)</w:t>
      </w:r>
      <w:r w:rsidR="00886AF4" w:rsidRPr="00360C87">
        <w:rPr>
          <w:noProof/>
          <w:sz w:val="22"/>
        </w:rPr>
        <w:t>. There were 3 adverse events (0 v</w:t>
      </w:r>
      <w:r w:rsidR="00923CF2" w:rsidRPr="00360C87">
        <w:rPr>
          <w:noProof/>
          <w:sz w:val="22"/>
        </w:rPr>
        <w:t>er</w:t>
      </w:r>
      <w:r w:rsidR="00886AF4" w:rsidRPr="00360C87">
        <w:rPr>
          <w:noProof/>
          <w:sz w:val="22"/>
        </w:rPr>
        <w:t>s</w:t>
      </w:r>
      <w:r w:rsidR="00923CF2" w:rsidRPr="00360C87">
        <w:rPr>
          <w:noProof/>
          <w:sz w:val="22"/>
        </w:rPr>
        <w:t>us</w:t>
      </w:r>
      <w:r w:rsidR="00886AF4" w:rsidRPr="00360C87">
        <w:rPr>
          <w:noProof/>
          <w:sz w:val="22"/>
        </w:rPr>
        <w:t xml:space="preserve"> 3), </w:t>
      </w:r>
      <w:r w:rsidR="009E1B97" w:rsidRPr="00360C87">
        <w:rPr>
          <w:noProof/>
          <w:sz w:val="22"/>
        </w:rPr>
        <w:t xml:space="preserve">and no in-hospital mortality was reported. The number of doses prepared by the pharmacy IV room </w:t>
      </w:r>
      <w:r w:rsidR="0070401A" w:rsidRPr="00360C87">
        <w:rPr>
          <w:noProof/>
          <w:sz w:val="22"/>
        </w:rPr>
        <w:t>decreased</w:t>
      </w:r>
      <w:r w:rsidR="00923CF2" w:rsidRPr="00360C87">
        <w:rPr>
          <w:noProof/>
          <w:sz w:val="22"/>
        </w:rPr>
        <w:t xml:space="preserve"> after implementation </w:t>
      </w:r>
      <w:r w:rsidR="0070401A" w:rsidRPr="00360C87">
        <w:rPr>
          <w:noProof/>
          <w:sz w:val="22"/>
        </w:rPr>
        <w:t>(</w:t>
      </w:r>
      <w:r w:rsidR="00923CF2" w:rsidRPr="00360C87">
        <w:rPr>
          <w:noProof/>
          <w:sz w:val="22"/>
        </w:rPr>
        <w:t>40.4%</w:t>
      </w:r>
      <w:r w:rsidR="00905E49" w:rsidRPr="00360C87">
        <w:rPr>
          <w:noProof/>
          <w:sz w:val="22"/>
        </w:rPr>
        <w:t xml:space="preserve"> versus </w:t>
      </w:r>
      <w:r w:rsidR="00923CF2" w:rsidRPr="00360C87">
        <w:rPr>
          <w:noProof/>
          <w:sz w:val="22"/>
        </w:rPr>
        <w:t>10.5%</w:t>
      </w:r>
      <w:r w:rsidR="00905E49" w:rsidRPr="00360C87">
        <w:rPr>
          <w:noProof/>
          <w:sz w:val="22"/>
        </w:rPr>
        <w:t xml:space="preserve">, p </w:t>
      </w:r>
      <w:r w:rsidR="00923CF2" w:rsidRPr="00360C87">
        <w:rPr>
          <w:noProof/>
          <w:sz w:val="22"/>
        </w:rPr>
        <w:t>&lt;0.0001</w:t>
      </w:r>
      <w:r w:rsidR="00905E49" w:rsidRPr="00360C87">
        <w:rPr>
          <w:noProof/>
          <w:sz w:val="22"/>
        </w:rPr>
        <w:t>)</w:t>
      </w:r>
      <w:r w:rsidR="00923CF2" w:rsidRPr="00360C87">
        <w:rPr>
          <w:noProof/>
          <w:sz w:val="22"/>
        </w:rPr>
        <w:t>.</w:t>
      </w:r>
    </w:p>
    <w:p w14:paraId="51CE5498" w14:textId="0194775C" w:rsidR="00894AF3" w:rsidRPr="00360C87" w:rsidRDefault="00894AF3" w:rsidP="00D74B07">
      <w:pPr>
        <w:pStyle w:val="IOPAbsText"/>
        <w:rPr>
          <w:b/>
          <w:bCs/>
          <w:noProof/>
          <w:sz w:val="22"/>
        </w:rPr>
      </w:pPr>
      <w:r w:rsidRPr="00360C87">
        <w:rPr>
          <w:b/>
          <w:bCs/>
          <w:noProof/>
          <w:sz w:val="22"/>
        </w:rPr>
        <w:t xml:space="preserve">Conclusion  </w:t>
      </w:r>
    </w:p>
    <w:p w14:paraId="37B3BC78" w14:textId="3906EC21" w:rsidR="003149A2" w:rsidRPr="00360C87" w:rsidRDefault="00923CF2" w:rsidP="00676BD6">
      <w:pPr>
        <w:spacing w:after="0"/>
        <w:rPr>
          <w:rFonts w:ascii="Times New Roman" w:hAnsi="Times New Roman"/>
          <w:noProof/>
        </w:rPr>
      </w:pPr>
      <w:r w:rsidRPr="00360C87">
        <w:rPr>
          <w:rFonts w:ascii="Times New Roman" w:hAnsi="Times New Roman"/>
        </w:rPr>
        <w:t xml:space="preserve">Time to antibiotic administration was not different before and after implementation of a pediatric ceftriaxone dose rounding protocol. </w:t>
      </w:r>
      <w:r w:rsidR="003D160A" w:rsidRPr="00360C87">
        <w:rPr>
          <w:rFonts w:ascii="Times New Roman" w:hAnsi="Times New Roman"/>
        </w:rPr>
        <w:t xml:space="preserve">The number of doses prepared by the IV room significantly decreased in the post-implementation </w:t>
      </w:r>
      <w:r w:rsidR="005F2A34" w:rsidRPr="00360C87">
        <w:rPr>
          <w:rFonts w:ascii="Times New Roman" w:hAnsi="Times New Roman"/>
        </w:rPr>
        <w:t>g</w:t>
      </w:r>
      <w:r w:rsidR="003D160A" w:rsidRPr="00360C87">
        <w:rPr>
          <w:rFonts w:ascii="Times New Roman" w:hAnsi="Times New Roman"/>
        </w:rPr>
        <w:t xml:space="preserve">roup. </w:t>
      </w:r>
      <w:r w:rsidRPr="00360C87">
        <w:rPr>
          <w:rFonts w:ascii="Times New Roman" w:hAnsi="Times New Roman"/>
        </w:rPr>
        <w:t>The</w:t>
      </w:r>
      <w:r w:rsidR="003D160A" w:rsidRPr="00360C87">
        <w:rPr>
          <w:rFonts w:ascii="Times New Roman" w:hAnsi="Times New Roman"/>
        </w:rPr>
        <w:t>re were</w:t>
      </w:r>
      <w:r w:rsidRPr="00360C87">
        <w:rPr>
          <w:rFonts w:ascii="Times New Roman" w:hAnsi="Times New Roman"/>
        </w:rPr>
        <w:t xml:space="preserve"> </w:t>
      </w:r>
      <w:r w:rsidR="003D160A" w:rsidRPr="00360C87">
        <w:rPr>
          <w:rFonts w:ascii="Times New Roman" w:hAnsi="Times New Roman"/>
        </w:rPr>
        <w:t xml:space="preserve">higher ED volumes in the </w:t>
      </w:r>
      <w:r w:rsidRPr="00360C87">
        <w:rPr>
          <w:rFonts w:ascii="Times New Roman" w:hAnsi="Times New Roman"/>
        </w:rPr>
        <w:t>post-implementation group</w:t>
      </w:r>
      <w:r w:rsidR="009F2728" w:rsidRPr="00360C87">
        <w:rPr>
          <w:rFonts w:ascii="Times New Roman" w:hAnsi="Times New Roman"/>
        </w:rPr>
        <w:t>, as well as seasonal spikes of viral infections</w:t>
      </w:r>
      <w:r w:rsidR="003D160A" w:rsidRPr="00360C87">
        <w:rPr>
          <w:rFonts w:ascii="Times New Roman" w:hAnsi="Times New Roman"/>
        </w:rPr>
        <w:t xml:space="preserve"> such </w:t>
      </w:r>
      <w:r w:rsidR="00CB5CC7" w:rsidRPr="00360C87">
        <w:rPr>
          <w:rFonts w:ascii="Times New Roman" w:hAnsi="Times New Roman"/>
        </w:rPr>
        <w:t xml:space="preserve">as respiratory </w:t>
      </w:r>
      <w:r w:rsidR="005C5C69" w:rsidRPr="00360C87">
        <w:rPr>
          <w:rFonts w:ascii="Times New Roman" w:hAnsi="Times New Roman"/>
        </w:rPr>
        <w:t xml:space="preserve">syncytial virus </w:t>
      </w:r>
      <w:r w:rsidR="00CB5CC7" w:rsidRPr="00360C87">
        <w:rPr>
          <w:rFonts w:ascii="Times New Roman" w:hAnsi="Times New Roman"/>
        </w:rPr>
        <w:t>(RSV) and influenza-A</w:t>
      </w:r>
      <w:r w:rsidR="009F2728" w:rsidRPr="00360C87">
        <w:rPr>
          <w:rFonts w:ascii="Times New Roman" w:hAnsi="Times New Roman"/>
        </w:rPr>
        <w:t xml:space="preserve">. While there was no difference in time to administration, </w:t>
      </w:r>
      <w:r w:rsidR="005C5C69" w:rsidRPr="00360C87">
        <w:rPr>
          <w:rFonts w:ascii="Times New Roman" w:hAnsi="Times New Roman"/>
        </w:rPr>
        <w:t>administration time</w:t>
      </w:r>
      <w:r w:rsidR="0070401A" w:rsidRPr="00360C87">
        <w:rPr>
          <w:rFonts w:ascii="Times New Roman" w:hAnsi="Times New Roman"/>
        </w:rPr>
        <w:t>s</w:t>
      </w:r>
      <w:r w:rsidR="005C5C69" w:rsidRPr="00360C87">
        <w:rPr>
          <w:rFonts w:ascii="Times New Roman" w:hAnsi="Times New Roman"/>
        </w:rPr>
        <w:t xml:space="preserve"> are anticipated to</w:t>
      </w:r>
      <w:r w:rsidR="000456AC" w:rsidRPr="00360C87">
        <w:rPr>
          <w:rFonts w:ascii="Times New Roman" w:hAnsi="Times New Roman"/>
        </w:rPr>
        <w:t xml:space="preserve"> decrease as ED volumes return to historical averages</w:t>
      </w:r>
      <w:r w:rsidR="001A2563" w:rsidRPr="00360C87">
        <w:rPr>
          <w:rFonts w:ascii="Times New Roman" w:hAnsi="Times New Roman"/>
        </w:rPr>
        <w:t>.</w:t>
      </w:r>
    </w:p>
    <w:p w14:paraId="3870213A" w14:textId="2E9AFCD8" w:rsidR="004D2E4E" w:rsidRPr="007C154F" w:rsidRDefault="005223F4" w:rsidP="00A975EF">
      <w:pPr>
        <w:pStyle w:val="IOPKwd"/>
        <w:rPr>
          <w:sz w:val="24"/>
          <w:szCs w:val="24"/>
        </w:rPr>
        <w:sectPr w:rsidR="004D2E4E" w:rsidRPr="007C154F" w:rsidSect="00717D41">
          <w:headerReference w:type="default" r:id="rId11"/>
          <w:footerReference w:type="default" r:id="rId12"/>
          <w:pgSz w:w="11906" w:h="16838"/>
          <w:pgMar w:top="1584" w:right="1008" w:bottom="1584" w:left="1008" w:header="720" w:footer="720" w:gutter="0"/>
          <w:cols w:space="708"/>
          <w:docGrid w:linePitch="360"/>
        </w:sectPr>
      </w:pPr>
      <w:r w:rsidRPr="007C154F">
        <w:rPr>
          <w:sz w:val="24"/>
          <w:szCs w:val="24"/>
        </w:rPr>
        <w:lastRenderedPageBreak/>
        <w:t xml:space="preserve">Keywords: </w:t>
      </w:r>
      <w:r w:rsidR="00634498" w:rsidRPr="007C154F">
        <w:rPr>
          <w:sz w:val="24"/>
          <w:szCs w:val="24"/>
        </w:rPr>
        <w:t>pediatric dose rounding</w:t>
      </w:r>
      <w:r w:rsidR="00CF1CC7" w:rsidRPr="007C154F">
        <w:rPr>
          <w:sz w:val="24"/>
          <w:szCs w:val="24"/>
        </w:rPr>
        <w:t xml:space="preserve">, </w:t>
      </w:r>
      <w:r w:rsidR="005C5C69" w:rsidRPr="007C154F">
        <w:rPr>
          <w:sz w:val="24"/>
          <w:szCs w:val="24"/>
        </w:rPr>
        <w:t>ceftriaxon</w:t>
      </w:r>
      <w:r w:rsidR="00CB5408" w:rsidRPr="007C154F">
        <w:rPr>
          <w:sz w:val="24"/>
          <w:szCs w:val="24"/>
        </w:rPr>
        <w:t>e</w:t>
      </w:r>
      <w:r w:rsidR="00CF1CC7" w:rsidRPr="007C154F">
        <w:rPr>
          <w:sz w:val="24"/>
          <w:szCs w:val="24"/>
        </w:rPr>
        <w:t>,</w:t>
      </w:r>
      <w:r w:rsidR="003706C0" w:rsidRPr="007C154F">
        <w:rPr>
          <w:sz w:val="24"/>
          <w:szCs w:val="24"/>
        </w:rPr>
        <w:t xml:space="preserve"> pharmacist</w:t>
      </w:r>
    </w:p>
    <w:p w14:paraId="40B78164" w14:textId="6E1B70E2" w:rsidR="00A40AFB" w:rsidRPr="007C154F" w:rsidRDefault="00A40AFB" w:rsidP="00A40AFB">
      <w:pPr>
        <w:pStyle w:val="IOPH1"/>
        <w:rPr>
          <w:rFonts w:ascii="Times New Roman" w:hAnsi="Times New Roman"/>
          <w:sz w:val="24"/>
          <w:szCs w:val="24"/>
        </w:rPr>
      </w:pPr>
      <w:r w:rsidRPr="007C154F">
        <w:rPr>
          <w:rFonts w:ascii="Times New Roman" w:hAnsi="Times New Roman"/>
          <w:sz w:val="24"/>
          <w:szCs w:val="24"/>
        </w:rPr>
        <w:t xml:space="preserve">1. </w:t>
      </w:r>
      <w:r w:rsidR="004F1C46" w:rsidRPr="007C154F">
        <w:rPr>
          <w:rFonts w:ascii="Times New Roman" w:hAnsi="Times New Roman"/>
          <w:sz w:val="24"/>
          <w:szCs w:val="24"/>
        </w:rPr>
        <w:t>Background</w:t>
      </w:r>
    </w:p>
    <w:p w14:paraId="0A99C527" w14:textId="07F2A9E9" w:rsidR="008C2045" w:rsidRPr="007C154F" w:rsidRDefault="00167E71" w:rsidP="00736A00">
      <w:pPr>
        <w:spacing w:after="0"/>
        <w:ind w:firstLine="230"/>
        <w:jc w:val="both"/>
        <w:rPr>
          <w:rFonts w:ascii="Times New Roman" w:hAnsi="Times New Roman"/>
          <w:sz w:val="24"/>
          <w:szCs w:val="24"/>
        </w:rPr>
      </w:pPr>
      <w:r w:rsidRPr="007C154F">
        <w:rPr>
          <w:rFonts w:ascii="Times New Roman" w:hAnsi="Times New Roman"/>
          <w:sz w:val="24"/>
          <w:szCs w:val="24"/>
        </w:rPr>
        <w:t xml:space="preserve">Pediatric doses utilize weight-based dosing, which results in doses not available in commercially available products. These doses must </w:t>
      </w:r>
      <w:r w:rsidR="0073657B" w:rsidRPr="007C154F">
        <w:rPr>
          <w:rFonts w:ascii="Times New Roman" w:hAnsi="Times New Roman"/>
          <w:sz w:val="24"/>
          <w:szCs w:val="24"/>
        </w:rPr>
        <w:t xml:space="preserve">then </w:t>
      </w:r>
      <w:r w:rsidRPr="007C154F">
        <w:rPr>
          <w:rFonts w:ascii="Times New Roman" w:hAnsi="Times New Roman"/>
          <w:sz w:val="24"/>
          <w:szCs w:val="24"/>
        </w:rPr>
        <w:t xml:space="preserve">be </w:t>
      </w:r>
      <w:r w:rsidR="00DD2EA0" w:rsidRPr="007C154F">
        <w:rPr>
          <w:rFonts w:ascii="Times New Roman" w:hAnsi="Times New Roman"/>
          <w:sz w:val="24"/>
          <w:szCs w:val="24"/>
        </w:rPr>
        <w:t>individually prepared</w:t>
      </w:r>
      <w:r w:rsidR="0090017A" w:rsidRPr="007C154F">
        <w:rPr>
          <w:rFonts w:ascii="Times New Roman" w:hAnsi="Times New Roman"/>
          <w:sz w:val="24"/>
          <w:szCs w:val="24"/>
        </w:rPr>
        <w:t>, commonly do</w:t>
      </w:r>
      <w:r w:rsidR="0073657B" w:rsidRPr="007C154F">
        <w:rPr>
          <w:rFonts w:ascii="Times New Roman" w:hAnsi="Times New Roman"/>
          <w:sz w:val="24"/>
          <w:szCs w:val="24"/>
        </w:rPr>
        <w:t>n</w:t>
      </w:r>
      <w:r w:rsidR="0090017A" w:rsidRPr="007C154F">
        <w:rPr>
          <w:rFonts w:ascii="Times New Roman" w:hAnsi="Times New Roman"/>
          <w:sz w:val="24"/>
          <w:szCs w:val="24"/>
        </w:rPr>
        <w:t xml:space="preserve">e in a central pharmacy intravenous (IV) room. </w:t>
      </w:r>
      <w:r w:rsidR="000F2F5F" w:rsidRPr="007C154F">
        <w:rPr>
          <w:rFonts w:ascii="Times New Roman" w:hAnsi="Times New Roman"/>
          <w:sz w:val="24"/>
          <w:szCs w:val="24"/>
        </w:rPr>
        <w:t xml:space="preserve">Dose rounding </w:t>
      </w:r>
      <w:r w:rsidR="007D0588" w:rsidRPr="007C154F">
        <w:rPr>
          <w:rFonts w:ascii="Times New Roman" w:hAnsi="Times New Roman"/>
          <w:sz w:val="24"/>
          <w:szCs w:val="24"/>
        </w:rPr>
        <w:t>can</w:t>
      </w:r>
      <w:r w:rsidR="000F2F5F" w:rsidRPr="007C154F">
        <w:rPr>
          <w:rFonts w:ascii="Times New Roman" w:hAnsi="Times New Roman"/>
          <w:sz w:val="24"/>
          <w:szCs w:val="24"/>
        </w:rPr>
        <w:t xml:space="preserve"> round dose</w:t>
      </w:r>
      <w:r w:rsidR="007D0588" w:rsidRPr="007C154F">
        <w:rPr>
          <w:rFonts w:ascii="Times New Roman" w:hAnsi="Times New Roman"/>
          <w:sz w:val="24"/>
          <w:szCs w:val="24"/>
        </w:rPr>
        <w:t>s</w:t>
      </w:r>
      <w:r w:rsidR="000F2F5F" w:rsidRPr="007C154F">
        <w:rPr>
          <w:rFonts w:ascii="Times New Roman" w:hAnsi="Times New Roman"/>
          <w:sz w:val="24"/>
          <w:szCs w:val="24"/>
        </w:rPr>
        <w:t xml:space="preserve"> to commercially available product</w:t>
      </w:r>
      <w:r w:rsidR="007D0588" w:rsidRPr="007C154F">
        <w:rPr>
          <w:rFonts w:ascii="Times New Roman" w:hAnsi="Times New Roman"/>
          <w:sz w:val="24"/>
          <w:szCs w:val="24"/>
        </w:rPr>
        <w:t>s</w:t>
      </w:r>
      <w:r w:rsidR="00713140" w:rsidRPr="007C154F">
        <w:rPr>
          <w:rFonts w:ascii="Times New Roman" w:hAnsi="Times New Roman"/>
          <w:sz w:val="24"/>
          <w:szCs w:val="24"/>
        </w:rPr>
        <w:t xml:space="preserve">, which </w:t>
      </w:r>
      <w:r w:rsidR="00FF1919" w:rsidRPr="007C154F">
        <w:rPr>
          <w:rFonts w:ascii="Times New Roman" w:hAnsi="Times New Roman"/>
          <w:sz w:val="24"/>
          <w:szCs w:val="24"/>
        </w:rPr>
        <w:t>may be stored in patient care areas within an automated dispensing cabinet (ADC)</w:t>
      </w:r>
      <w:r w:rsidR="006E3EBD" w:rsidRPr="007C154F">
        <w:rPr>
          <w:rFonts w:ascii="Times New Roman" w:hAnsi="Times New Roman"/>
          <w:sz w:val="24"/>
          <w:szCs w:val="24"/>
        </w:rPr>
        <w:t xml:space="preserve">. </w:t>
      </w:r>
      <w:r w:rsidR="005F5AF7" w:rsidRPr="007C154F">
        <w:rPr>
          <w:rFonts w:ascii="Times New Roman" w:hAnsi="Times New Roman"/>
          <w:sz w:val="24"/>
          <w:szCs w:val="24"/>
        </w:rPr>
        <w:t>These commercially available product</w:t>
      </w:r>
      <w:r w:rsidR="00503984" w:rsidRPr="007C154F">
        <w:rPr>
          <w:rFonts w:ascii="Times New Roman" w:hAnsi="Times New Roman"/>
          <w:sz w:val="24"/>
          <w:szCs w:val="24"/>
        </w:rPr>
        <w:t>s</w:t>
      </w:r>
      <w:r w:rsidR="005F5AF7" w:rsidRPr="007C154F">
        <w:rPr>
          <w:rFonts w:ascii="Times New Roman" w:hAnsi="Times New Roman"/>
          <w:sz w:val="24"/>
          <w:szCs w:val="24"/>
        </w:rPr>
        <w:t xml:space="preserve"> may then be prepared in a patient care area and prepared for administration. In the </w:t>
      </w:r>
      <w:r w:rsidR="00CB798C" w:rsidRPr="007C154F">
        <w:rPr>
          <w:rFonts w:ascii="Times New Roman" w:hAnsi="Times New Roman"/>
          <w:sz w:val="24"/>
          <w:szCs w:val="24"/>
        </w:rPr>
        <w:t>ED</w:t>
      </w:r>
      <w:r w:rsidR="005F5AF7" w:rsidRPr="007C154F">
        <w:rPr>
          <w:rFonts w:ascii="Times New Roman" w:hAnsi="Times New Roman"/>
          <w:sz w:val="24"/>
          <w:szCs w:val="24"/>
        </w:rPr>
        <w:t xml:space="preserve">, </w:t>
      </w:r>
      <w:r w:rsidR="00CB798C" w:rsidRPr="007C154F">
        <w:rPr>
          <w:rFonts w:ascii="Times New Roman" w:hAnsi="Times New Roman"/>
          <w:sz w:val="24"/>
          <w:szCs w:val="24"/>
        </w:rPr>
        <w:t>antibiotics</w:t>
      </w:r>
      <w:r w:rsidR="009E4A88" w:rsidRPr="007C154F">
        <w:rPr>
          <w:rFonts w:ascii="Times New Roman" w:hAnsi="Times New Roman"/>
          <w:sz w:val="24"/>
          <w:szCs w:val="24"/>
        </w:rPr>
        <w:t xml:space="preserve"> are </w:t>
      </w:r>
      <w:r w:rsidR="00CB40EB" w:rsidRPr="007C154F">
        <w:rPr>
          <w:rFonts w:ascii="Times New Roman" w:hAnsi="Times New Roman"/>
          <w:sz w:val="24"/>
          <w:szCs w:val="24"/>
        </w:rPr>
        <w:t>regularl</w:t>
      </w:r>
      <w:r w:rsidR="009E4A88" w:rsidRPr="007C154F">
        <w:rPr>
          <w:rFonts w:ascii="Times New Roman" w:hAnsi="Times New Roman"/>
          <w:sz w:val="24"/>
          <w:szCs w:val="24"/>
        </w:rPr>
        <w:t xml:space="preserve">y administered </w:t>
      </w:r>
      <w:r w:rsidR="00CB40EB" w:rsidRPr="007C154F">
        <w:rPr>
          <w:rFonts w:ascii="Times New Roman" w:hAnsi="Times New Roman"/>
          <w:sz w:val="24"/>
          <w:szCs w:val="24"/>
        </w:rPr>
        <w:t>empirically</w:t>
      </w:r>
      <w:r w:rsidR="00B50637" w:rsidRPr="007C154F">
        <w:rPr>
          <w:rFonts w:ascii="Times New Roman" w:hAnsi="Times New Roman"/>
          <w:sz w:val="24"/>
          <w:szCs w:val="24"/>
        </w:rPr>
        <w:t>. Ceftriaxone is a broad</w:t>
      </w:r>
      <w:r w:rsidR="0070401A">
        <w:rPr>
          <w:rFonts w:ascii="Times New Roman" w:hAnsi="Times New Roman"/>
          <w:sz w:val="24"/>
          <w:szCs w:val="24"/>
        </w:rPr>
        <w:t>-</w:t>
      </w:r>
      <w:r w:rsidR="00B50637" w:rsidRPr="007C154F">
        <w:rPr>
          <w:rFonts w:ascii="Times New Roman" w:hAnsi="Times New Roman"/>
          <w:sz w:val="24"/>
          <w:szCs w:val="24"/>
        </w:rPr>
        <w:t xml:space="preserve">spectrum </w:t>
      </w:r>
      <w:r w:rsidR="00A37D81" w:rsidRPr="007C154F">
        <w:rPr>
          <w:rFonts w:ascii="Times New Roman" w:hAnsi="Times New Roman"/>
          <w:sz w:val="24"/>
          <w:szCs w:val="24"/>
        </w:rPr>
        <w:t>cephalosporin</w:t>
      </w:r>
      <w:r w:rsidR="00B50637" w:rsidRPr="007C154F">
        <w:rPr>
          <w:rFonts w:ascii="Times New Roman" w:hAnsi="Times New Roman"/>
          <w:sz w:val="24"/>
          <w:szCs w:val="24"/>
        </w:rPr>
        <w:t xml:space="preserve"> </w:t>
      </w:r>
      <w:r w:rsidR="00A37D81" w:rsidRPr="007C154F">
        <w:rPr>
          <w:rFonts w:ascii="Times New Roman" w:hAnsi="Times New Roman"/>
          <w:sz w:val="24"/>
          <w:szCs w:val="24"/>
        </w:rPr>
        <w:t xml:space="preserve">commonly </w:t>
      </w:r>
      <w:r w:rsidR="00B50637" w:rsidRPr="007C154F">
        <w:rPr>
          <w:rFonts w:ascii="Times New Roman" w:hAnsi="Times New Roman"/>
          <w:sz w:val="24"/>
          <w:szCs w:val="24"/>
        </w:rPr>
        <w:t xml:space="preserve">given for </w:t>
      </w:r>
      <w:r w:rsidR="00A37D81" w:rsidRPr="007C154F">
        <w:rPr>
          <w:rFonts w:ascii="Times New Roman" w:hAnsi="Times New Roman"/>
          <w:sz w:val="24"/>
          <w:szCs w:val="24"/>
        </w:rPr>
        <w:t xml:space="preserve">the </w:t>
      </w:r>
      <w:r w:rsidR="00B50637" w:rsidRPr="007C154F">
        <w:rPr>
          <w:rFonts w:ascii="Times New Roman" w:hAnsi="Times New Roman"/>
          <w:sz w:val="24"/>
          <w:szCs w:val="24"/>
        </w:rPr>
        <w:t>empiric coverage</w:t>
      </w:r>
      <w:r w:rsidR="00266052" w:rsidRPr="007C154F">
        <w:rPr>
          <w:rFonts w:ascii="Times New Roman" w:hAnsi="Times New Roman"/>
          <w:sz w:val="24"/>
          <w:szCs w:val="24"/>
        </w:rPr>
        <w:t xml:space="preserve"> of infections</w:t>
      </w:r>
      <w:r w:rsidR="00137913" w:rsidRPr="007C154F">
        <w:rPr>
          <w:rFonts w:ascii="Times New Roman" w:hAnsi="Times New Roman"/>
          <w:sz w:val="24"/>
          <w:szCs w:val="24"/>
        </w:rPr>
        <w:t>.</w:t>
      </w:r>
    </w:p>
    <w:p w14:paraId="138A3428" w14:textId="6C566141" w:rsidR="00532ECC" w:rsidRPr="007C154F" w:rsidRDefault="005F2A34" w:rsidP="00736A00">
      <w:pPr>
        <w:spacing w:after="0"/>
        <w:ind w:firstLine="230"/>
        <w:jc w:val="both"/>
        <w:rPr>
          <w:rFonts w:ascii="Times New Roman" w:hAnsi="Times New Roman"/>
          <w:sz w:val="24"/>
          <w:szCs w:val="24"/>
        </w:rPr>
      </w:pPr>
      <w:r w:rsidRPr="007C154F">
        <w:rPr>
          <w:rFonts w:ascii="Times New Roman" w:hAnsi="Times New Roman"/>
          <w:sz w:val="24"/>
          <w:szCs w:val="24"/>
        </w:rPr>
        <w:t xml:space="preserve">In the </w:t>
      </w:r>
      <w:r w:rsidR="00AE57E5" w:rsidRPr="007C154F">
        <w:rPr>
          <w:rFonts w:ascii="Times New Roman" w:hAnsi="Times New Roman"/>
          <w:sz w:val="24"/>
          <w:szCs w:val="24"/>
        </w:rPr>
        <w:t>ED</w:t>
      </w:r>
      <w:r w:rsidRPr="007C154F">
        <w:rPr>
          <w:rFonts w:ascii="Times New Roman" w:hAnsi="Times New Roman"/>
          <w:sz w:val="24"/>
          <w:szCs w:val="24"/>
        </w:rPr>
        <w:t xml:space="preserve"> at RRMC, ceftriaxone doses </w:t>
      </w:r>
      <w:r w:rsidR="00E13F6F" w:rsidRPr="007C154F">
        <w:rPr>
          <w:rFonts w:ascii="Times New Roman" w:hAnsi="Times New Roman"/>
          <w:sz w:val="24"/>
          <w:szCs w:val="24"/>
        </w:rPr>
        <w:t>were</w:t>
      </w:r>
      <w:r w:rsidRPr="007C154F">
        <w:rPr>
          <w:rFonts w:ascii="Times New Roman" w:hAnsi="Times New Roman"/>
          <w:sz w:val="24"/>
          <w:szCs w:val="24"/>
        </w:rPr>
        <w:t xml:space="preserve"> prepared at bedside</w:t>
      </w:r>
      <w:r w:rsidR="00AE57E5" w:rsidRPr="007C154F">
        <w:rPr>
          <w:rFonts w:ascii="Times New Roman" w:hAnsi="Times New Roman"/>
          <w:sz w:val="24"/>
          <w:szCs w:val="24"/>
        </w:rPr>
        <w:t xml:space="preserve"> if the dose </w:t>
      </w:r>
      <w:r w:rsidR="00E13F6F" w:rsidRPr="007C154F">
        <w:rPr>
          <w:rFonts w:ascii="Times New Roman" w:hAnsi="Times New Roman"/>
          <w:sz w:val="24"/>
          <w:szCs w:val="24"/>
        </w:rPr>
        <w:t>was</w:t>
      </w:r>
      <w:r w:rsidR="00AE57E5" w:rsidRPr="007C154F">
        <w:rPr>
          <w:rFonts w:ascii="Times New Roman" w:hAnsi="Times New Roman"/>
          <w:sz w:val="24"/>
          <w:szCs w:val="24"/>
        </w:rPr>
        <w:t xml:space="preserve"> available in commercially available products. Vials were </w:t>
      </w:r>
      <w:r w:rsidR="00920A4F" w:rsidRPr="007C154F">
        <w:rPr>
          <w:rFonts w:ascii="Times New Roman" w:hAnsi="Times New Roman"/>
          <w:sz w:val="24"/>
          <w:szCs w:val="24"/>
        </w:rPr>
        <w:t xml:space="preserve">prepared and pushed at bedside. Otherwise, doses were prepared in the </w:t>
      </w:r>
      <w:r w:rsidR="00325002" w:rsidRPr="007C154F">
        <w:rPr>
          <w:rFonts w:ascii="Times New Roman" w:hAnsi="Times New Roman"/>
          <w:sz w:val="24"/>
          <w:szCs w:val="24"/>
        </w:rPr>
        <w:t xml:space="preserve">pharmacy IV room and given as an infusion. </w:t>
      </w:r>
      <w:r w:rsidR="00526DCF" w:rsidRPr="007C154F">
        <w:rPr>
          <w:rFonts w:ascii="Times New Roman" w:hAnsi="Times New Roman"/>
          <w:sz w:val="24"/>
          <w:szCs w:val="24"/>
        </w:rPr>
        <w:t xml:space="preserve">Workflow is more intense for </w:t>
      </w:r>
      <w:r w:rsidR="00D07B94" w:rsidRPr="007C154F">
        <w:rPr>
          <w:rFonts w:ascii="Times New Roman" w:hAnsi="Times New Roman"/>
          <w:sz w:val="24"/>
          <w:szCs w:val="24"/>
        </w:rPr>
        <w:t xml:space="preserve">doses prepared in the IV room, as this utilizes pharmacy technician hours, </w:t>
      </w:r>
      <w:r w:rsidR="00F94881" w:rsidRPr="007C154F">
        <w:rPr>
          <w:rFonts w:ascii="Times New Roman" w:hAnsi="Times New Roman"/>
          <w:sz w:val="24"/>
          <w:szCs w:val="24"/>
        </w:rPr>
        <w:t xml:space="preserve">a </w:t>
      </w:r>
      <w:proofErr w:type="gramStart"/>
      <w:r w:rsidR="00F94881" w:rsidRPr="007C154F">
        <w:rPr>
          <w:rFonts w:ascii="Times New Roman" w:hAnsi="Times New Roman"/>
          <w:sz w:val="24"/>
          <w:szCs w:val="24"/>
        </w:rPr>
        <w:t>double-pharmacist</w:t>
      </w:r>
      <w:proofErr w:type="gramEnd"/>
      <w:r w:rsidR="00F94881" w:rsidRPr="007C154F">
        <w:rPr>
          <w:rFonts w:ascii="Times New Roman" w:hAnsi="Times New Roman"/>
          <w:sz w:val="24"/>
          <w:szCs w:val="24"/>
        </w:rPr>
        <w:t xml:space="preserve"> check on the compounded product, and then delivery of the patient specific dose to the patient care area.</w:t>
      </w:r>
    </w:p>
    <w:p w14:paraId="51CE1944" w14:textId="51C61F57" w:rsidR="00560395" w:rsidRPr="007C154F" w:rsidRDefault="00560395" w:rsidP="00736A00">
      <w:pPr>
        <w:spacing w:after="0"/>
        <w:ind w:firstLine="230"/>
        <w:jc w:val="both"/>
        <w:rPr>
          <w:rFonts w:ascii="Times New Roman" w:hAnsi="Times New Roman"/>
          <w:sz w:val="24"/>
          <w:szCs w:val="24"/>
        </w:rPr>
      </w:pPr>
      <w:r w:rsidRPr="007C154F">
        <w:rPr>
          <w:rFonts w:ascii="Times New Roman" w:hAnsi="Times New Roman"/>
          <w:sz w:val="24"/>
          <w:szCs w:val="24"/>
        </w:rPr>
        <w:t xml:space="preserve">This </w:t>
      </w:r>
      <w:r w:rsidR="0070401A">
        <w:rPr>
          <w:rFonts w:ascii="Times New Roman" w:hAnsi="Times New Roman"/>
          <w:sz w:val="24"/>
          <w:szCs w:val="24"/>
        </w:rPr>
        <w:t>study</w:t>
      </w:r>
      <w:r w:rsidRPr="007C154F">
        <w:rPr>
          <w:rFonts w:ascii="Times New Roman" w:hAnsi="Times New Roman"/>
          <w:sz w:val="24"/>
          <w:szCs w:val="24"/>
        </w:rPr>
        <w:t xml:space="preserve"> compares the time to first dose administration before and after implementation of a pediatric ceftriaxone dose rounding protocol</w:t>
      </w:r>
      <w:r w:rsidR="002648A9" w:rsidRPr="007C154F">
        <w:rPr>
          <w:rFonts w:ascii="Times New Roman" w:hAnsi="Times New Roman"/>
          <w:sz w:val="24"/>
          <w:szCs w:val="24"/>
        </w:rPr>
        <w:t xml:space="preserve"> in an ED.</w:t>
      </w:r>
    </w:p>
    <w:p w14:paraId="254CDDA3" w14:textId="679D7EF6" w:rsidR="00EA3F9B" w:rsidRPr="007C154F" w:rsidRDefault="00101039" w:rsidP="00EA3F9B">
      <w:pPr>
        <w:spacing w:before="200" w:after="120"/>
        <w:rPr>
          <w:rFonts w:ascii="Times New Roman" w:hAnsi="Times New Roman"/>
          <w:b/>
          <w:sz w:val="24"/>
          <w:szCs w:val="24"/>
        </w:rPr>
      </w:pPr>
      <w:r w:rsidRPr="007C154F">
        <w:rPr>
          <w:rFonts w:ascii="Times New Roman" w:hAnsi="Times New Roman"/>
          <w:b/>
          <w:sz w:val="24"/>
          <w:szCs w:val="24"/>
        </w:rPr>
        <w:t>2</w:t>
      </w:r>
      <w:r w:rsidR="00090614" w:rsidRPr="007C154F">
        <w:rPr>
          <w:rFonts w:ascii="Times New Roman" w:hAnsi="Times New Roman"/>
          <w:b/>
          <w:sz w:val="24"/>
          <w:szCs w:val="24"/>
        </w:rPr>
        <w:t xml:space="preserve">. </w:t>
      </w:r>
      <w:r w:rsidRPr="007C154F">
        <w:rPr>
          <w:rFonts w:ascii="Times New Roman" w:hAnsi="Times New Roman"/>
          <w:b/>
          <w:sz w:val="24"/>
          <w:szCs w:val="24"/>
        </w:rPr>
        <w:t>Methods</w:t>
      </w:r>
    </w:p>
    <w:p w14:paraId="629D0C82" w14:textId="0FF7AB52" w:rsidR="00742719" w:rsidRPr="007C154F" w:rsidRDefault="00EA3F9B" w:rsidP="00256560">
      <w:pPr>
        <w:spacing w:before="200" w:after="120"/>
        <w:ind w:firstLine="230"/>
        <w:jc w:val="both"/>
        <w:rPr>
          <w:rFonts w:ascii="Times New Roman" w:hAnsi="Times New Roman"/>
          <w:b/>
          <w:sz w:val="24"/>
          <w:szCs w:val="24"/>
        </w:rPr>
      </w:pPr>
      <w:r w:rsidRPr="007C154F">
        <w:rPr>
          <w:rFonts w:ascii="Times New Roman" w:hAnsi="Times New Roman"/>
          <w:sz w:val="24"/>
          <w:szCs w:val="24"/>
        </w:rPr>
        <w:t xml:space="preserve">This was a </w:t>
      </w:r>
      <w:r w:rsidR="0070401A">
        <w:rPr>
          <w:rFonts w:ascii="Times New Roman" w:hAnsi="Times New Roman"/>
          <w:sz w:val="24"/>
          <w:szCs w:val="24"/>
        </w:rPr>
        <w:t xml:space="preserve">quasi-experimental </w:t>
      </w:r>
      <w:r w:rsidRPr="007C154F">
        <w:rPr>
          <w:rFonts w:ascii="Times New Roman" w:hAnsi="Times New Roman"/>
          <w:sz w:val="24"/>
          <w:szCs w:val="24"/>
        </w:rPr>
        <w:t xml:space="preserve">retrospective chart review of </w:t>
      </w:r>
      <w:r w:rsidR="006F668A" w:rsidRPr="007C154F">
        <w:rPr>
          <w:rFonts w:ascii="Times New Roman" w:hAnsi="Times New Roman"/>
          <w:sz w:val="24"/>
          <w:szCs w:val="24"/>
        </w:rPr>
        <w:t>patients presenting to</w:t>
      </w:r>
      <w:r w:rsidR="009F1EED" w:rsidRPr="007C154F">
        <w:rPr>
          <w:rFonts w:ascii="Times New Roman" w:hAnsi="Times New Roman"/>
          <w:sz w:val="24"/>
          <w:szCs w:val="24"/>
        </w:rPr>
        <w:t xml:space="preserve"> Renown Regional Medical Center </w:t>
      </w:r>
      <w:r w:rsidR="00AF22F3" w:rsidRPr="007C154F">
        <w:rPr>
          <w:rFonts w:ascii="Times New Roman" w:hAnsi="Times New Roman"/>
          <w:sz w:val="24"/>
          <w:szCs w:val="24"/>
        </w:rPr>
        <w:t xml:space="preserve">between July 1, </w:t>
      </w:r>
      <w:proofErr w:type="gramStart"/>
      <w:r w:rsidR="00AF22F3" w:rsidRPr="007C154F">
        <w:rPr>
          <w:rFonts w:ascii="Times New Roman" w:hAnsi="Times New Roman"/>
          <w:sz w:val="24"/>
          <w:szCs w:val="24"/>
        </w:rPr>
        <w:t>2022</w:t>
      </w:r>
      <w:proofErr w:type="gramEnd"/>
      <w:r w:rsidR="00AF22F3" w:rsidRPr="007C154F">
        <w:rPr>
          <w:rFonts w:ascii="Times New Roman" w:hAnsi="Times New Roman"/>
          <w:sz w:val="24"/>
          <w:szCs w:val="24"/>
        </w:rPr>
        <w:t xml:space="preserve"> to September 30, 2022 in the pre-implementation group and December 1, 2022 to February 28, 2023 in the post-implementation group</w:t>
      </w:r>
      <w:r w:rsidRPr="007C154F">
        <w:rPr>
          <w:rFonts w:ascii="Times New Roman" w:hAnsi="Times New Roman"/>
          <w:sz w:val="24"/>
          <w:szCs w:val="24"/>
        </w:rPr>
        <w:t xml:space="preserve">. This was done </w:t>
      </w:r>
      <w:r w:rsidRPr="007C154F">
        <w:rPr>
          <w:rFonts w:ascii="Times New Roman" w:hAnsi="Times New Roman"/>
          <w:sz w:val="24"/>
          <w:szCs w:val="24"/>
        </w:rPr>
        <w:t xml:space="preserve">by </w:t>
      </w:r>
      <w:r w:rsidR="002648A9" w:rsidRPr="007C154F">
        <w:rPr>
          <w:rFonts w:ascii="Times New Roman" w:hAnsi="Times New Roman"/>
          <w:sz w:val="24"/>
          <w:szCs w:val="24"/>
        </w:rPr>
        <w:t>collecting charts of pediatric patients</w:t>
      </w:r>
      <w:r w:rsidR="006555CD" w:rsidRPr="007C154F">
        <w:rPr>
          <w:rFonts w:ascii="Times New Roman" w:hAnsi="Times New Roman"/>
          <w:sz w:val="24"/>
          <w:szCs w:val="24"/>
        </w:rPr>
        <w:t xml:space="preserve"> who received their first dose of ceftriaxone in the RRMC emergency department</w:t>
      </w:r>
      <w:r w:rsidR="001817FE" w:rsidRPr="007C154F">
        <w:rPr>
          <w:rFonts w:ascii="Times New Roman" w:hAnsi="Times New Roman"/>
          <w:sz w:val="24"/>
          <w:szCs w:val="24"/>
        </w:rPr>
        <w:t xml:space="preserve">. </w:t>
      </w:r>
    </w:p>
    <w:p w14:paraId="488C8576" w14:textId="5D9283C0" w:rsidR="00CB71A1" w:rsidRPr="007C154F" w:rsidRDefault="00CB71A1" w:rsidP="00CB71A1">
      <w:pPr>
        <w:spacing w:before="200" w:after="120"/>
        <w:rPr>
          <w:rFonts w:ascii="Times New Roman" w:hAnsi="Times New Roman"/>
          <w:b/>
          <w:i/>
          <w:iCs/>
          <w:sz w:val="24"/>
          <w:szCs w:val="24"/>
        </w:rPr>
      </w:pPr>
      <w:r w:rsidRPr="007C154F">
        <w:rPr>
          <w:rFonts w:ascii="Times New Roman" w:hAnsi="Times New Roman"/>
          <w:b/>
          <w:i/>
          <w:iCs/>
          <w:sz w:val="24"/>
          <w:szCs w:val="24"/>
        </w:rPr>
        <w:t>2.1 Data Collection</w:t>
      </w:r>
    </w:p>
    <w:p w14:paraId="266EE0DE" w14:textId="77777777" w:rsidR="00EA3F9B" w:rsidRPr="007C154F" w:rsidRDefault="00EA3F9B" w:rsidP="00EA3F9B">
      <w:pPr>
        <w:spacing w:after="0"/>
        <w:ind w:firstLine="230"/>
        <w:jc w:val="both"/>
        <w:rPr>
          <w:rFonts w:ascii="Times New Roman" w:hAnsi="Times New Roman"/>
          <w:i/>
          <w:sz w:val="24"/>
          <w:szCs w:val="24"/>
        </w:rPr>
      </w:pPr>
      <w:r w:rsidRPr="007C154F">
        <w:rPr>
          <w:rFonts w:ascii="Times New Roman" w:hAnsi="Times New Roman"/>
          <w:i/>
          <w:sz w:val="24"/>
          <w:szCs w:val="24"/>
        </w:rPr>
        <w:t>Original Methods:</w:t>
      </w:r>
    </w:p>
    <w:p w14:paraId="796F595A" w14:textId="7C36CEDE" w:rsidR="00EA3F9B" w:rsidRPr="007C154F" w:rsidRDefault="00EA3F9B" w:rsidP="00EA3F9B">
      <w:pPr>
        <w:numPr>
          <w:ilvl w:val="0"/>
          <w:numId w:val="3"/>
        </w:numPr>
        <w:spacing w:after="0"/>
        <w:jc w:val="both"/>
        <w:rPr>
          <w:rFonts w:ascii="Times New Roman" w:hAnsi="Times New Roman"/>
          <w:sz w:val="24"/>
          <w:szCs w:val="24"/>
          <w:lang w:val="en-US"/>
        </w:rPr>
      </w:pPr>
      <w:r w:rsidRPr="007C154F">
        <w:rPr>
          <w:rFonts w:ascii="Times New Roman" w:hAnsi="Times New Roman"/>
          <w:sz w:val="24"/>
          <w:szCs w:val="24"/>
          <w:lang w:val="en-US"/>
        </w:rPr>
        <w:t xml:space="preserve">Inclusion criteria: </w:t>
      </w:r>
      <w:r w:rsidR="00BB5FBD" w:rsidRPr="007C154F">
        <w:rPr>
          <w:rFonts w:ascii="Times New Roman" w:hAnsi="Times New Roman"/>
          <w:sz w:val="24"/>
          <w:szCs w:val="24"/>
          <w:lang w:val="en-US"/>
        </w:rPr>
        <w:t>First ceftriaxone dose administered in the RRMC</w:t>
      </w:r>
      <w:r w:rsidR="00E06B7C" w:rsidRPr="007C154F">
        <w:rPr>
          <w:rFonts w:ascii="Times New Roman" w:hAnsi="Times New Roman"/>
          <w:sz w:val="24"/>
          <w:szCs w:val="24"/>
          <w:lang w:val="en-US"/>
        </w:rPr>
        <w:t xml:space="preserve"> ED</w:t>
      </w:r>
    </w:p>
    <w:p w14:paraId="3FC3C2CD" w14:textId="04DBCB5B" w:rsidR="00EA3F9B" w:rsidRPr="007C154F" w:rsidRDefault="00EA3F9B" w:rsidP="00EA3F9B">
      <w:pPr>
        <w:numPr>
          <w:ilvl w:val="0"/>
          <w:numId w:val="3"/>
        </w:numPr>
        <w:spacing w:after="0"/>
        <w:jc w:val="both"/>
        <w:rPr>
          <w:rFonts w:ascii="Times New Roman" w:hAnsi="Times New Roman"/>
          <w:sz w:val="24"/>
          <w:szCs w:val="24"/>
          <w:lang w:val="en-US"/>
        </w:rPr>
      </w:pPr>
      <w:r w:rsidRPr="007C154F">
        <w:rPr>
          <w:rFonts w:ascii="Times New Roman" w:hAnsi="Times New Roman"/>
          <w:sz w:val="24"/>
          <w:szCs w:val="24"/>
          <w:lang w:val="en-US"/>
        </w:rPr>
        <w:t xml:space="preserve">Exclusion criteria: </w:t>
      </w:r>
      <w:r w:rsidR="00BB5FBD" w:rsidRPr="007C154F">
        <w:rPr>
          <w:rFonts w:ascii="Times New Roman" w:hAnsi="Times New Roman"/>
          <w:sz w:val="24"/>
          <w:szCs w:val="24"/>
          <w:lang w:val="en-US"/>
        </w:rPr>
        <w:t xml:space="preserve">Patients </w:t>
      </w:r>
      <w:r w:rsidR="00AB0480" w:rsidRPr="007C154F">
        <w:rPr>
          <w:rFonts w:ascii="Times New Roman" w:hAnsi="Times New Roman"/>
          <w:sz w:val="24"/>
          <w:szCs w:val="24"/>
          <w:lang w:val="en-US"/>
        </w:rPr>
        <w:t xml:space="preserve">equal or greater than 18 years of age, </w:t>
      </w:r>
      <w:r w:rsidR="00FA7720" w:rsidRPr="007C154F">
        <w:rPr>
          <w:rFonts w:ascii="Times New Roman" w:hAnsi="Times New Roman"/>
          <w:sz w:val="24"/>
          <w:szCs w:val="24"/>
          <w:lang w:val="en-US"/>
        </w:rPr>
        <w:t xml:space="preserve">or </w:t>
      </w:r>
      <w:r w:rsidR="00AB0480" w:rsidRPr="007C154F">
        <w:rPr>
          <w:rFonts w:ascii="Times New Roman" w:hAnsi="Times New Roman"/>
          <w:sz w:val="24"/>
          <w:szCs w:val="24"/>
          <w:lang w:val="en-US"/>
        </w:rPr>
        <w:t>less than 17 kilograms</w:t>
      </w:r>
    </w:p>
    <w:p w14:paraId="2DE93664" w14:textId="1604E8CB" w:rsidR="00B541BC" w:rsidRPr="007C154F" w:rsidRDefault="00B541BC" w:rsidP="00B541BC">
      <w:pPr>
        <w:spacing w:after="0"/>
        <w:jc w:val="both"/>
        <w:rPr>
          <w:rFonts w:ascii="Times New Roman" w:hAnsi="Times New Roman"/>
          <w:sz w:val="24"/>
          <w:szCs w:val="24"/>
        </w:rPr>
      </w:pPr>
    </w:p>
    <w:p w14:paraId="29D3640C" w14:textId="70CE687C" w:rsidR="00B541BC" w:rsidRPr="007C154F" w:rsidRDefault="00B541BC" w:rsidP="00B541BC">
      <w:pPr>
        <w:spacing w:after="0"/>
        <w:ind w:left="230"/>
        <w:jc w:val="both"/>
        <w:rPr>
          <w:rFonts w:ascii="Times New Roman" w:hAnsi="Times New Roman"/>
          <w:i/>
          <w:iCs/>
          <w:sz w:val="24"/>
          <w:szCs w:val="24"/>
        </w:rPr>
      </w:pPr>
      <w:r w:rsidRPr="007C154F">
        <w:rPr>
          <w:rFonts w:ascii="Times New Roman" w:hAnsi="Times New Roman"/>
          <w:i/>
          <w:iCs/>
          <w:sz w:val="24"/>
          <w:szCs w:val="24"/>
        </w:rPr>
        <w:t>Outcomes:</w:t>
      </w:r>
    </w:p>
    <w:p w14:paraId="697F4DB2" w14:textId="6FA97E16" w:rsidR="00BB70C8" w:rsidRPr="007C154F" w:rsidRDefault="00EA3F9B" w:rsidP="00EA3F9B">
      <w:pPr>
        <w:spacing w:after="0"/>
        <w:ind w:firstLine="230"/>
        <w:jc w:val="both"/>
        <w:rPr>
          <w:rFonts w:ascii="Times New Roman" w:hAnsi="Times New Roman"/>
          <w:sz w:val="24"/>
          <w:szCs w:val="24"/>
        </w:rPr>
      </w:pPr>
      <w:r w:rsidRPr="007C154F">
        <w:rPr>
          <w:rFonts w:ascii="Times New Roman" w:hAnsi="Times New Roman"/>
          <w:sz w:val="24"/>
          <w:szCs w:val="24"/>
        </w:rPr>
        <w:t xml:space="preserve">The primary outcome was </w:t>
      </w:r>
      <w:r w:rsidR="00DD1823" w:rsidRPr="007C154F">
        <w:rPr>
          <w:rFonts w:ascii="Times New Roman" w:hAnsi="Times New Roman"/>
          <w:sz w:val="24"/>
          <w:szCs w:val="24"/>
        </w:rPr>
        <w:t>the difference in time to administration between groups</w:t>
      </w:r>
      <w:r w:rsidRPr="007C154F">
        <w:rPr>
          <w:rFonts w:ascii="Times New Roman" w:hAnsi="Times New Roman"/>
          <w:sz w:val="24"/>
          <w:szCs w:val="24"/>
        </w:rPr>
        <w:t xml:space="preserve">. Secondary outcomes </w:t>
      </w:r>
      <w:r w:rsidR="00E26700" w:rsidRPr="007C154F">
        <w:rPr>
          <w:rFonts w:ascii="Times New Roman" w:hAnsi="Times New Roman"/>
          <w:sz w:val="24"/>
          <w:szCs w:val="24"/>
        </w:rPr>
        <w:t xml:space="preserve">included adverse events, the number of doses compounded in the central pharmacy </w:t>
      </w:r>
      <w:r w:rsidR="00E13F6F" w:rsidRPr="007C154F">
        <w:rPr>
          <w:rFonts w:ascii="Times New Roman" w:hAnsi="Times New Roman"/>
          <w:sz w:val="24"/>
          <w:szCs w:val="24"/>
        </w:rPr>
        <w:t>IV room</w:t>
      </w:r>
      <w:r w:rsidR="00E26700" w:rsidRPr="007C154F">
        <w:rPr>
          <w:rFonts w:ascii="Times New Roman" w:hAnsi="Times New Roman"/>
          <w:sz w:val="24"/>
          <w:szCs w:val="24"/>
        </w:rPr>
        <w:t>, and in-hospital mortality.</w:t>
      </w:r>
    </w:p>
    <w:p w14:paraId="66FC5053" w14:textId="6286357C" w:rsidR="00B15CD1" w:rsidRPr="007C154F" w:rsidRDefault="00B9566D" w:rsidP="00B9566D">
      <w:pPr>
        <w:spacing w:before="200" w:after="120"/>
        <w:rPr>
          <w:rFonts w:ascii="Times New Roman" w:hAnsi="Times New Roman"/>
          <w:b/>
          <w:i/>
          <w:iCs/>
          <w:sz w:val="24"/>
          <w:szCs w:val="24"/>
        </w:rPr>
      </w:pPr>
      <w:r w:rsidRPr="007C154F">
        <w:rPr>
          <w:rFonts w:ascii="Times New Roman" w:hAnsi="Times New Roman"/>
          <w:b/>
          <w:i/>
          <w:iCs/>
          <w:sz w:val="24"/>
          <w:szCs w:val="24"/>
        </w:rPr>
        <w:t>2.</w:t>
      </w:r>
      <w:r w:rsidR="00A65F30" w:rsidRPr="007C154F">
        <w:rPr>
          <w:rFonts w:ascii="Times New Roman" w:hAnsi="Times New Roman"/>
          <w:b/>
          <w:i/>
          <w:iCs/>
          <w:sz w:val="24"/>
          <w:szCs w:val="24"/>
        </w:rPr>
        <w:t>2</w:t>
      </w:r>
      <w:r w:rsidRPr="007C154F">
        <w:rPr>
          <w:rFonts w:ascii="Times New Roman" w:hAnsi="Times New Roman"/>
          <w:b/>
          <w:i/>
          <w:iCs/>
          <w:sz w:val="24"/>
          <w:szCs w:val="24"/>
        </w:rPr>
        <w:t xml:space="preserve"> Data Analysis</w:t>
      </w:r>
    </w:p>
    <w:p w14:paraId="5F494096" w14:textId="6636A737" w:rsidR="0041330F" w:rsidRPr="007C154F" w:rsidRDefault="00E26700" w:rsidP="004C2512">
      <w:pPr>
        <w:ind w:firstLine="230"/>
        <w:jc w:val="both"/>
        <w:rPr>
          <w:rFonts w:ascii="Times New Roman" w:hAnsi="Times New Roman"/>
          <w:sz w:val="24"/>
          <w:szCs w:val="24"/>
        </w:rPr>
      </w:pPr>
      <w:r w:rsidRPr="007C154F">
        <w:rPr>
          <w:rFonts w:ascii="Times New Roman" w:hAnsi="Times New Roman"/>
          <w:sz w:val="24"/>
          <w:szCs w:val="24"/>
        </w:rPr>
        <w:t>Nominal variables</w:t>
      </w:r>
      <w:r w:rsidR="001E1C3E" w:rsidRPr="007C154F">
        <w:rPr>
          <w:rFonts w:ascii="Times New Roman" w:hAnsi="Times New Roman"/>
          <w:sz w:val="24"/>
          <w:szCs w:val="24"/>
        </w:rPr>
        <w:t xml:space="preserve"> were </w:t>
      </w:r>
      <w:proofErr w:type="spellStart"/>
      <w:r w:rsidR="001E1C3E" w:rsidRPr="007C154F">
        <w:rPr>
          <w:rFonts w:ascii="Times New Roman" w:hAnsi="Times New Roman"/>
          <w:sz w:val="24"/>
          <w:szCs w:val="24"/>
        </w:rPr>
        <w:t>analyzed</w:t>
      </w:r>
      <w:proofErr w:type="spellEnd"/>
      <w:r w:rsidR="001E1C3E" w:rsidRPr="007C154F">
        <w:rPr>
          <w:rFonts w:ascii="Times New Roman" w:hAnsi="Times New Roman"/>
          <w:sz w:val="24"/>
          <w:szCs w:val="24"/>
        </w:rPr>
        <w:t xml:space="preserve"> using </w:t>
      </w:r>
      <w:r w:rsidRPr="007C154F">
        <w:rPr>
          <w:rFonts w:ascii="Times New Roman" w:hAnsi="Times New Roman"/>
          <w:sz w:val="24"/>
          <w:szCs w:val="24"/>
        </w:rPr>
        <w:t>Fisher’s Exact Test</w:t>
      </w:r>
      <w:r w:rsidR="001E1C3E" w:rsidRPr="007C154F">
        <w:rPr>
          <w:rFonts w:ascii="Times New Roman" w:hAnsi="Times New Roman"/>
          <w:sz w:val="24"/>
          <w:szCs w:val="24"/>
        </w:rPr>
        <w:t xml:space="preserve">. </w:t>
      </w:r>
      <w:r w:rsidR="004D01DA" w:rsidRPr="007C154F">
        <w:rPr>
          <w:rFonts w:ascii="Times New Roman" w:hAnsi="Times New Roman"/>
          <w:sz w:val="24"/>
          <w:szCs w:val="24"/>
        </w:rPr>
        <w:t xml:space="preserve">Continuous </w:t>
      </w:r>
      <w:r w:rsidR="001E1C3E" w:rsidRPr="007C154F">
        <w:rPr>
          <w:rFonts w:ascii="Times New Roman" w:hAnsi="Times New Roman"/>
          <w:sz w:val="24"/>
          <w:szCs w:val="24"/>
        </w:rPr>
        <w:t xml:space="preserve">outcomes were </w:t>
      </w:r>
      <w:proofErr w:type="spellStart"/>
      <w:r w:rsidR="001E1C3E" w:rsidRPr="007C154F">
        <w:rPr>
          <w:rFonts w:ascii="Times New Roman" w:hAnsi="Times New Roman"/>
          <w:sz w:val="24"/>
          <w:szCs w:val="24"/>
        </w:rPr>
        <w:t>analyzed</w:t>
      </w:r>
      <w:proofErr w:type="spellEnd"/>
      <w:r w:rsidR="001E1C3E" w:rsidRPr="007C154F">
        <w:rPr>
          <w:rFonts w:ascii="Times New Roman" w:hAnsi="Times New Roman"/>
          <w:sz w:val="24"/>
          <w:szCs w:val="24"/>
        </w:rPr>
        <w:t xml:space="preserve"> using </w:t>
      </w:r>
      <w:r w:rsidR="004D01DA" w:rsidRPr="007C154F">
        <w:rPr>
          <w:rFonts w:ascii="Times New Roman" w:hAnsi="Times New Roman"/>
          <w:sz w:val="24"/>
          <w:szCs w:val="24"/>
        </w:rPr>
        <w:t>Wilcoxon signed-rank test</w:t>
      </w:r>
      <w:r w:rsidR="001E1C3E" w:rsidRPr="007C154F">
        <w:rPr>
          <w:rFonts w:ascii="Times New Roman" w:hAnsi="Times New Roman"/>
          <w:sz w:val="24"/>
          <w:szCs w:val="24"/>
        </w:rPr>
        <w:t xml:space="preserve">. A p-value less than 0.05 </w:t>
      </w:r>
      <w:r w:rsidR="004D01DA" w:rsidRPr="007C154F">
        <w:rPr>
          <w:rFonts w:ascii="Times New Roman" w:hAnsi="Times New Roman"/>
          <w:sz w:val="24"/>
          <w:szCs w:val="24"/>
        </w:rPr>
        <w:t xml:space="preserve">was </w:t>
      </w:r>
      <w:r w:rsidR="0083078A" w:rsidRPr="007C154F">
        <w:rPr>
          <w:rFonts w:ascii="Times New Roman" w:hAnsi="Times New Roman"/>
          <w:sz w:val="24"/>
          <w:szCs w:val="24"/>
        </w:rPr>
        <w:t>considered</w:t>
      </w:r>
      <w:r w:rsidR="001E1C3E" w:rsidRPr="007C154F">
        <w:rPr>
          <w:rFonts w:ascii="Times New Roman" w:hAnsi="Times New Roman"/>
          <w:sz w:val="24"/>
          <w:szCs w:val="24"/>
        </w:rPr>
        <w:t xml:space="preserve"> statistical</w:t>
      </w:r>
      <w:r w:rsidR="0083078A" w:rsidRPr="007C154F">
        <w:rPr>
          <w:rFonts w:ascii="Times New Roman" w:hAnsi="Times New Roman"/>
          <w:sz w:val="24"/>
          <w:szCs w:val="24"/>
        </w:rPr>
        <w:t>ly</w:t>
      </w:r>
      <w:r w:rsidR="001E1C3E" w:rsidRPr="007C154F">
        <w:rPr>
          <w:rFonts w:ascii="Times New Roman" w:hAnsi="Times New Roman"/>
          <w:sz w:val="24"/>
          <w:szCs w:val="24"/>
        </w:rPr>
        <w:t xml:space="preserve"> significan</w:t>
      </w:r>
      <w:r w:rsidR="0083078A" w:rsidRPr="007C154F">
        <w:rPr>
          <w:rFonts w:ascii="Times New Roman" w:hAnsi="Times New Roman"/>
          <w:sz w:val="24"/>
          <w:szCs w:val="24"/>
        </w:rPr>
        <w:t>t</w:t>
      </w:r>
      <w:r w:rsidR="001E1C3E" w:rsidRPr="007C154F">
        <w:rPr>
          <w:rFonts w:ascii="Times New Roman" w:hAnsi="Times New Roman"/>
          <w:sz w:val="24"/>
          <w:szCs w:val="24"/>
        </w:rPr>
        <w:t>.</w:t>
      </w:r>
    </w:p>
    <w:p w14:paraId="54BE46CD" w14:textId="14A67824" w:rsidR="000422B3" w:rsidRPr="007C154F" w:rsidRDefault="004E3CB6" w:rsidP="00BB70C8">
      <w:pPr>
        <w:spacing w:before="200" w:after="120"/>
        <w:rPr>
          <w:rFonts w:ascii="Times New Roman" w:hAnsi="Times New Roman"/>
          <w:b/>
          <w:sz w:val="24"/>
          <w:szCs w:val="24"/>
        </w:rPr>
      </w:pPr>
      <w:r w:rsidRPr="007C154F">
        <w:rPr>
          <w:rFonts w:ascii="Times New Roman" w:hAnsi="Times New Roman"/>
          <w:b/>
          <w:sz w:val="24"/>
          <w:szCs w:val="24"/>
        </w:rPr>
        <w:t>3</w:t>
      </w:r>
      <w:r w:rsidR="00BB70C8" w:rsidRPr="007C154F">
        <w:rPr>
          <w:rFonts w:ascii="Times New Roman" w:hAnsi="Times New Roman"/>
          <w:b/>
          <w:sz w:val="24"/>
          <w:szCs w:val="24"/>
        </w:rPr>
        <w:t xml:space="preserve">. </w:t>
      </w:r>
      <w:r w:rsidRPr="007C154F">
        <w:rPr>
          <w:rFonts w:ascii="Times New Roman" w:hAnsi="Times New Roman"/>
          <w:b/>
          <w:sz w:val="24"/>
          <w:szCs w:val="24"/>
        </w:rPr>
        <w:t>Results</w:t>
      </w:r>
    </w:p>
    <w:p w14:paraId="2BA67288" w14:textId="6DF77500" w:rsidR="00FD1958" w:rsidRPr="007C154F" w:rsidRDefault="00B20553" w:rsidP="00FD1958">
      <w:pPr>
        <w:spacing w:after="0"/>
        <w:ind w:firstLine="230"/>
        <w:jc w:val="both"/>
        <w:rPr>
          <w:rFonts w:ascii="Times New Roman" w:hAnsi="Times New Roman"/>
          <w:sz w:val="24"/>
          <w:szCs w:val="24"/>
        </w:rPr>
      </w:pPr>
      <w:r w:rsidRPr="007C154F">
        <w:rPr>
          <w:rFonts w:ascii="Times New Roman" w:hAnsi="Times New Roman"/>
          <w:sz w:val="24"/>
          <w:szCs w:val="24"/>
        </w:rPr>
        <w:t>Of 508 charts initially collected, 351</w:t>
      </w:r>
      <w:r w:rsidR="007721C7" w:rsidRPr="007C154F">
        <w:rPr>
          <w:rFonts w:ascii="Times New Roman" w:hAnsi="Times New Roman"/>
          <w:sz w:val="24"/>
          <w:szCs w:val="24"/>
        </w:rPr>
        <w:t xml:space="preserve"> were excluded (235 administrations outside the ED, 116 less than 17 kilograms</w:t>
      </w:r>
      <w:r w:rsidR="002D448C">
        <w:rPr>
          <w:rFonts w:ascii="Times New Roman" w:hAnsi="Times New Roman"/>
          <w:sz w:val="24"/>
          <w:szCs w:val="24"/>
        </w:rPr>
        <w:t>)</w:t>
      </w:r>
      <w:r w:rsidR="007721C7" w:rsidRPr="007C154F">
        <w:rPr>
          <w:rFonts w:ascii="Times New Roman" w:hAnsi="Times New Roman"/>
          <w:sz w:val="24"/>
          <w:szCs w:val="24"/>
        </w:rPr>
        <w:t xml:space="preserve">. </w:t>
      </w:r>
      <w:r w:rsidR="00DA0E64" w:rsidRPr="007C154F">
        <w:rPr>
          <w:rFonts w:ascii="Times New Roman" w:hAnsi="Times New Roman"/>
          <w:sz w:val="24"/>
          <w:szCs w:val="24"/>
        </w:rPr>
        <w:t>Of the remaining 157 charts, 52</w:t>
      </w:r>
      <w:r w:rsidR="000E06FD" w:rsidRPr="007C154F">
        <w:rPr>
          <w:rFonts w:ascii="Times New Roman" w:hAnsi="Times New Roman"/>
          <w:sz w:val="24"/>
          <w:szCs w:val="24"/>
        </w:rPr>
        <w:t xml:space="preserve"> were in the pre-implementation group, and 105 in the post-implementation group.</w:t>
      </w:r>
    </w:p>
    <w:p w14:paraId="1E5D5DA8" w14:textId="49506328" w:rsidR="00FD1958" w:rsidRPr="007C154F" w:rsidRDefault="00FD1958" w:rsidP="00FD1958">
      <w:pPr>
        <w:spacing w:after="0"/>
        <w:ind w:firstLine="230"/>
        <w:jc w:val="both"/>
        <w:rPr>
          <w:rFonts w:ascii="Times New Roman" w:hAnsi="Times New Roman"/>
          <w:sz w:val="24"/>
          <w:szCs w:val="24"/>
        </w:rPr>
      </w:pPr>
      <w:r w:rsidRPr="007C154F">
        <w:rPr>
          <w:rFonts w:ascii="Times New Roman" w:hAnsi="Times New Roman"/>
          <w:sz w:val="24"/>
          <w:szCs w:val="24"/>
        </w:rPr>
        <w:t xml:space="preserve">Baseline characteristics were similar and are listed in Table 1. </w:t>
      </w:r>
      <w:r w:rsidR="00847173" w:rsidRPr="007C154F">
        <w:rPr>
          <w:rFonts w:ascii="Times New Roman" w:hAnsi="Times New Roman"/>
          <w:sz w:val="24"/>
          <w:szCs w:val="24"/>
        </w:rPr>
        <w:t xml:space="preserve">The </w:t>
      </w:r>
      <w:r w:rsidR="00CA3156" w:rsidRPr="007C154F">
        <w:rPr>
          <w:rFonts w:ascii="Times New Roman" w:hAnsi="Times New Roman"/>
          <w:sz w:val="24"/>
          <w:szCs w:val="24"/>
        </w:rPr>
        <w:t xml:space="preserve">pre-implementation group had a greater number of </w:t>
      </w:r>
      <w:r w:rsidR="007A546E" w:rsidRPr="007C154F">
        <w:rPr>
          <w:rFonts w:ascii="Times New Roman" w:hAnsi="Times New Roman"/>
          <w:sz w:val="24"/>
          <w:szCs w:val="24"/>
        </w:rPr>
        <w:t xml:space="preserve">positive </w:t>
      </w:r>
      <w:r w:rsidR="00CA3156" w:rsidRPr="007C154F">
        <w:rPr>
          <w:rFonts w:ascii="Times New Roman" w:hAnsi="Times New Roman"/>
          <w:sz w:val="24"/>
          <w:szCs w:val="24"/>
        </w:rPr>
        <w:t>COVID-19</w:t>
      </w:r>
      <w:r w:rsidR="007A546E" w:rsidRPr="007C154F">
        <w:rPr>
          <w:rFonts w:ascii="Times New Roman" w:hAnsi="Times New Roman"/>
          <w:sz w:val="24"/>
          <w:szCs w:val="24"/>
        </w:rPr>
        <w:t xml:space="preserve"> tests, whereas t</w:t>
      </w:r>
      <w:r w:rsidR="00CA3156" w:rsidRPr="007C154F">
        <w:rPr>
          <w:rFonts w:ascii="Times New Roman" w:hAnsi="Times New Roman"/>
          <w:sz w:val="24"/>
          <w:szCs w:val="24"/>
        </w:rPr>
        <w:t xml:space="preserve">he </w:t>
      </w:r>
      <w:r w:rsidR="00847173" w:rsidRPr="007C154F">
        <w:rPr>
          <w:rFonts w:ascii="Times New Roman" w:hAnsi="Times New Roman"/>
          <w:sz w:val="24"/>
          <w:szCs w:val="24"/>
        </w:rPr>
        <w:t xml:space="preserve">post-implementation group had a greater number of </w:t>
      </w:r>
      <w:r w:rsidR="00CA3156" w:rsidRPr="007C154F">
        <w:rPr>
          <w:rFonts w:ascii="Times New Roman" w:hAnsi="Times New Roman"/>
          <w:sz w:val="24"/>
          <w:szCs w:val="24"/>
        </w:rPr>
        <w:t xml:space="preserve">positive viral tests, influenza A, and RSV cases. </w:t>
      </w:r>
      <w:r w:rsidR="004829ED" w:rsidRPr="007C154F">
        <w:rPr>
          <w:rFonts w:ascii="Times New Roman" w:hAnsi="Times New Roman"/>
          <w:sz w:val="24"/>
          <w:szCs w:val="24"/>
        </w:rPr>
        <w:t>Primary and secondary</w:t>
      </w:r>
      <w:r w:rsidR="00F34011" w:rsidRPr="007C154F">
        <w:rPr>
          <w:rFonts w:ascii="Times New Roman" w:hAnsi="Times New Roman"/>
          <w:sz w:val="24"/>
          <w:szCs w:val="24"/>
        </w:rPr>
        <w:t xml:space="preserve"> outcomes </w:t>
      </w:r>
      <w:r w:rsidR="004F7B8E" w:rsidRPr="007C154F">
        <w:rPr>
          <w:rFonts w:ascii="Times New Roman" w:hAnsi="Times New Roman"/>
          <w:sz w:val="24"/>
          <w:szCs w:val="24"/>
        </w:rPr>
        <w:t>are listed in Table 2</w:t>
      </w:r>
      <w:r w:rsidR="004829ED" w:rsidRPr="007C154F">
        <w:rPr>
          <w:rFonts w:ascii="Times New Roman" w:hAnsi="Times New Roman"/>
          <w:sz w:val="24"/>
          <w:szCs w:val="24"/>
        </w:rPr>
        <w:t xml:space="preserve"> and 3, respectively. </w:t>
      </w:r>
    </w:p>
    <w:p w14:paraId="786083CD" w14:textId="77777777" w:rsidR="008D2069" w:rsidRPr="007C154F" w:rsidRDefault="008D2069" w:rsidP="00A9002E">
      <w:pPr>
        <w:spacing w:after="0"/>
        <w:rPr>
          <w:rFonts w:ascii="Times New Roman" w:hAnsi="Times New Roman"/>
          <w:sz w:val="24"/>
          <w:szCs w:val="24"/>
          <w:highlight w:val="yellow"/>
        </w:rPr>
        <w:sectPr w:rsidR="008D2069" w:rsidRPr="007C154F" w:rsidSect="009602A7">
          <w:headerReference w:type="default" r:id="rId13"/>
          <w:footerReference w:type="default" r:id="rId14"/>
          <w:type w:val="continuous"/>
          <w:pgSz w:w="11906" w:h="16838" w:code="9"/>
          <w:pgMar w:top="1800" w:right="1008" w:bottom="1800" w:left="1008" w:header="720" w:footer="720" w:gutter="0"/>
          <w:cols w:num="2" w:space="227"/>
          <w:docGrid w:linePitch="360"/>
        </w:sectPr>
      </w:pPr>
    </w:p>
    <w:p w14:paraId="028771DF" w14:textId="77777777" w:rsidR="002648A9" w:rsidRPr="007C154F" w:rsidRDefault="002648A9" w:rsidP="00A9002E">
      <w:pPr>
        <w:spacing w:after="0"/>
        <w:rPr>
          <w:rFonts w:ascii="Times New Roman" w:hAnsi="Times New Roman"/>
          <w:sz w:val="24"/>
          <w:szCs w:val="24"/>
        </w:rPr>
      </w:pPr>
    </w:p>
    <w:p w14:paraId="3A335126" w14:textId="77777777" w:rsidR="00C6596B" w:rsidRDefault="00C6596B" w:rsidP="00A9002E">
      <w:pPr>
        <w:spacing w:after="0"/>
        <w:rPr>
          <w:rFonts w:ascii="Times New Roman" w:hAnsi="Times New Roman"/>
          <w:sz w:val="24"/>
          <w:szCs w:val="24"/>
        </w:rPr>
      </w:pPr>
    </w:p>
    <w:p w14:paraId="358D4443" w14:textId="77777777" w:rsidR="00C6596B" w:rsidRDefault="00C6596B" w:rsidP="00A9002E">
      <w:pPr>
        <w:spacing w:after="0"/>
        <w:rPr>
          <w:rFonts w:ascii="Times New Roman" w:hAnsi="Times New Roman"/>
          <w:sz w:val="24"/>
          <w:szCs w:val="24"/>
        </w:rPr>
      </w:pPr>
    </w:p>
    <w:p w14:paraId="68A06DCF" w14:textId="77777777" w:rsidR="00C6596B" w:rsidRDefault="00C6596B" w:rsidP="00A9002E">
      <w:pPr>
        <w:spacing w:after="0"/>
        <w:rPr>
          <w:rFonts w:ascii="Times New Roman" w:hAnsi="Times New Roman"/>
          <w:sz w:val="24"/>
          <w:szCs w:val="24"/>
        </w:rPr>
      </w:pPr>
    </w:p>
    <w:p w14:paraId="1F433A27" w14:textId="078085FA" w:rsidR="00A9002E" w:rsidRPr="007C154F" w:rsidRDefault="00A9002E" w:rsidP="00A9002E">
      <w:pPr>
        <w:spacing w:after="0"/>
        <w:rPr>
          <w:rFonts w:ascii="Times New Roman" w:hAnsi="Times New Roman"/>
          <w:sz w:val="24"/>
          <w:szCs w:val="24"/>
        </w:rPr>
      </w:pPr>
      <w:r w:rsidRPr="007C154F">
        <w:rPr>
          <w:rFonts w:ascii="Times New Roman" w:hAnsi="Times New Roman"/>
          <w:sz w:val="24"/>
          <w:szCs w:val="24"/>
        </w:rPr>
        <w:t>Table 1: Baseline Characteristics</w:t>
      </w:r>
    </w:p>
    <w:tbl>
      <w:tblPr>
        <w:tblStyle w:val="GridTable4"/>
        <w:tblW w:w="5000" w:type="pct"/>
        <w:tblLook w:val="04A0" w:firstRow="1" w:lastRow="0" w:firstColumn="1" w:lastColumn="0" w:noHBand="0" w:noVBand="1"/>
      </w:tblPr>
      <w:tblGrid>
        <w:gridCol w:w="3414"/>
        <w:gridCol w:w="3152"/>
        <w:gridCol w:w="3314"/>
      </w:tblGrid>
      <w:tr w:rsidR="005A35D1" w:rsidRPr="007C154F" w14:paraId="0D35E0FB" w14:textId="77777777" w:rsidTr="002D448C">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728" w:type="pct"/>
            <w:hideMark/>
          </w:tcPr>
          <w:p w14:paraId="711AB8FD" w14:textId="77777777" w:rsidR="005A35D1" w:rsidRPr="007C154F" w:rsidRDefault="005A35D1" w:rsidP="003A04D4">
            <w:pPr>
              <w:rPr>
                <w:rFonts w:ascii="Times New Roman" w:hAnsi="Times New Roman"/>
                <w:sz w:val="24"/>
                <w:szCs w:val="24"/>
              </w:rPr>
            </w:pPr>
          </w:p>
        </w:tc>
        <w:tc>
          <w:tcPr>
            <w:tcW w:w="1595" w:type="pct"/>
            <w:hideMark/>
          </w:tcPr>
          <w:p w14:paraId="2937C569" w14:textId="4B621232" w:rsidR="005A35D1" w:rsidRPr="007C154F" w:rsidRDefault="005A35D1" w:rsidP="003A04D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C154F">
              <w:rPr>
                <w:rFonts w:ascii="Times New Roman" w:hAnsi="Times New Roman"/>
                <w:sz w:val="24"/>
                <w:szCs w:val="24"/>
              </w:rPr>
              <w:t>Pre-Implementation (</w:t>
            </w:r>
            <w:r w:rsidR="00BC36A8">
              <w:rPr>
                <w:rFonts w:ascii="Times New Roman" w:hAnsi="Times New Roman"/>
                <w:sz w:val="24"/>
                <w:szCs w:val="24"/>
              </w:rPr>
              <w:t>n</w:t>
            </w:r>
            <w:r w:rsidRPr="007C154F">
              <w:rPr>
                <w:rFonts w:ascii="Times New Roman" w:hAnsi="Times New Roman"/>
                <w:sz w:val="24"/>
                <w:szCs w:val="24"/>
              </w:rPr>
              <w:t>=</w:t>
            </w:r>
            <w:r w:rsidR="002D448C">
              <w:rPr>
                <w:rFonts w:ascii="Times New Roman" w:hAnsi="Times New Roman"/>
                <w:sz w:val="24"/>
                <w:szCs w:val="24"/>
              </w:rPr>
              <w:t>52</w:t>
            </w:r>
            <w:r w:rsidRPr="007C154F">
              <w:rPr>
                <w:rFonts w:ascii="Times New Roman" w:hAnsi="Times New Roman"/>
                <w:sz w:val="24"/>
                <w:szCs w:val="24"/>
              </w:rPr>
              <w:t>)</w:t>
            </w:r>
          </w:p>
        </w:tc>
        <w:tc>
          <w:tcPr>
            <w:tcW w:w="1678" w:type="pct"/>
            <w:hideMark/>
          </w:tcPr>
          <w:p w14:paraId="5B9D1E97" w14:textId="7B74D5E9" w:rsidR="005A35D1" w:rsidRPr="007C154F" w:rsidRDefault="005A35D1" w:rsidP="003A04D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C154F">
              <w:rPr>
                <w:rFonts w:ascii="Times New Roman" w:hAnsi="Times New Roman"/>
                <w:sz w:val="24"/>
                <w:szCs w:val="24"/>
              </w:rPr>
              <w:t>Post-Implementation (</w:t>
            </w:r>
            <w:r w:rsidR="00BC36A8">
              <w:rPr>
                <w:rFonts w:ascii="Times New Roman" w:hAnsi="Times New Roman"/>
                <w:sz w:val="24"/>
                <w:szCs w:val="24"/>
              </w:rPr>
              <w:t>n</w:t>
            </w:r>
            <w:r w:rsidRPr="007C154F">
              <w:rPr>
                <w:rFonts w:ascii="Times New Roman" w:hAnsi="Times New Roman"/>
                <w:sz w:val="24"/>
                <w:szCs w:val="24"/>
              </w:rPr>
              <w:t>=</w:t>
            </w:r>
            <w:r w:rsidR="002D448C">
              <w:rPr>
                <w:rFonts w:ascii="Times New Roman" w:hAnsi="Times New Roman"/>
                <w:sz w:val="24"/>
                <w:szCs w:val="24"/>
              </w:rPr>
              <w:t>105</w:t>
            </w:r>
            <w:r w:rsidRPr="007C154F">
              <w:rPr>
                <w:rFonts w:ascii="Times New Roman" w:hAnsi="Times New Roman"/>
                <w:sz w:val="24"/>
                <w:szCs w:val="24"/>
              </w:rPr>
              <w:t>)</w:t>
            </w:r>
          </w:p>
        </w:tc>
      </w:tr>
      <w:tr w:rsidR="003B18D3" w:rsidRPr="007C154F" w14:paraId="60007CB0" w14:textId="77777777" w:rsidTr="002D448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728" w:type="pct"/>
            <w:hideMark/>
          </w:tcPr>
          <w:p w14:paraId="6704C7CF" w14:textId="1E1D9B11" w:rsidR="003B18D3" w:rsidRPr="007C154F" w:rsidRDefault="003B18D3" w:rsidP="003B18D3">
            <w:pPr>
              <w:rPr>
                <w:rFonts w:ascii="Times New Roman" w:hAnsi="Times New Roman"/>
                <w:sz w:val="24"/>
                <w:szCs w:val="24"/>
              </w:rPr>
            </w:pPr>
            <w:r w:rsidRPr="007C154F">
              <w:rPr>
                <w:rFonts w:ascii="Times New Roman" w:hAnsi="Times New Roman"/>
                <w:sz w:val="24"/>
                <w:szCs w:val="24"/>
              </w:rPr>
              <w:t>Age, years, median (IQR)</w:t>
            </w:r>
          </w:p>
        </w:tc>
        <w:tc>
          <w:tcPr>
            <w:tcW w:w="1595" w:type="pct"/>
            <w:hideMark/>
          </w:tcPr>
          <w:p w14:paraId="3D724D1B" w14:textId="25E2AF17" w:rsidR="003B18D3" w:rsidRPr="007C154F" w:rsidRDefault="003B18D3" w:rsidP="003B18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US"/>
              </w:rPr>
            </w:pPr>
            <w:r w:rsidRPr="007C154F">
              <w:rPr>
                <w:rFonts w:ascii="Times New Roman" w:hAnsi="Times New Roman"/>
                <w:color w:val="000000" w:themeColor="text1"/>
                <w:kern w:val="24"/>
                <w:sz w:val="24"/>
                <w:szCs w:val="24"/>
              </w:rPr>
              <w:t>15 (7.5-16)</w:t>
            </w:r>
          </w:p>
        </w:tc>
        <w:tc>
          <w:tcPr>
            <w:tcW w:w="1678" w:type="pct"/>
            <w:hideMark/>
          </w:tcPr>
          <w:p w14:paraId="6504D6C7" w14:textId="04FDC3C8" w:rsidR="003B18D3" w:rsidRPr="007C154F" w:rsidRDefault="003B18D3" w:rsidP="003B18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C154F">
              <w:rPr>
                <w:rFonts w:ascii="Times New Roman" w:hAnsi="Times New Roman"/>
                <w:color w:val="000000" w:themeColor="text1"/>
                <w:kern w:val="24"/>
                <w:sz w:val="24"/>
                <w:szCs w:val="24"/>
              </w:rPr>
              <w:t>9 (6-15)</w:t>
            </w:r>
          </w:p>
        </w:tc>
      </w:tr>
      <w:tr w:rsidR="003B18D3" w:rsidRPr="007C154F" w14:paraId="439DBE19" w14:textId="77777777" w:rsidTr="002D448C">
        <w:trPr>
          <w:trHeight w:val="70"/>
        </w:trPr>
        <w:tc>
          <w:tcPr>
            <w:cnfStyle w:val="001000000000" w:firstRow="0" w:lastRow="0" w:firstColumn="1" w:lastColumn="0" w:oddVBand="0" w:evenVBand="0" w:oddHBand="0" w:evenHBand="0" w:firstRowFirstColumn="0" w:firstRowLastColumn="0" w:lastRowFirstColumn="0" w:lastRowLastColumn="0"/>
            <w:tcW w:w="1728" w:type="pct"/>
            <w:hideMark/>
          </w:tcPr>
          <w:p w14:paraId="0DBC5F8E" w14:textId="18D11C63" w:rsidR="003B18D3" w:rsidRPr="007C154F" w:rsidRDefault="003B18D3" w:rsidP="003B18D3">
            <w:pPr>
              <w:rPr>
                <w:rFonts w:ascii="Times New Roman" w:hAnsi="Times New Roman"/>
                <w:sz w:val="24"/>
                <w:szCs w:val="24"/>
              </w:rPr>
            </w:pPr>
            <w:r w:rsidRPr="007C154F">
              <w:rPr>
                <w:rFonts w:ascii="Times New Roman" w:hAnsi="Times New Roman"/>
                <w:sz w:val="24"/>
                <w:szCs w:val="24"/>
              </w:rPr>
              <w:t>Weight, kg, median (IQR</w:t>
            </w:r>
          </w:p>
        </w:tc>
        <w:tc>
          <w:tcPr>
            <w:tcW w:w="1595" w:type="pct"/>
            <w:hideMark/>
          </w:tcPr>
          <w:p w14:paraId="0EAA887B" w14:textId="10A89D04" w:rsidR="003B18D3" w:rsidRPr="007C154F" w:rsidRDefault="003B18D3" w:rsidP="003B18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C154F">
              <w:rPr>
                <w:rFonts w:ascii="Times New Roman" w:hAnsi="Times New Roman"/>
                <w:color w:val="000000" w:themeColor="text1"/>
                <w:kern w:val="24"/>
                <w:sz w:val="24"/>
                <w:szCs w:val="24"/>
              </w:rPr>
              <w:t>47.9 (25.9-68.2)</w:t>
            </w:r>
          </w:p>
        </w:tc>
        <w:tc>
          <w:tcPr>
            <w:tcW w:w="1678" w:type="pct"/>
            <w:hideMark/>
          </w:tcPr>
          <w:p w14:paraId="3F428B82" w14:textId="1F62118D" w:rsidR="003B18D3" w:rsidRPr="007C154F" w:rsidRDefault="003B18D3" w:rsidP="003B18D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C154F">
              <w:rPr>
                <w:rFonts w:ascii="Times New Roman" w:hAnsi="Times New Roman"/>
                <w:color w:val="000000" w:themeColor="text1"/>
                <w:kern w:val="24"/>
                <w:sz w:val="24"/>
                <w:szCs w:val="24"/>
              </w:rPr>
              <w:t>36.0 (21.3-58.3)</w:t>
            </w:r>
          </w:p>
        </w:tc>
      </w:tr>
      <w:tr w:rsidR="003B18D3" w:rsidRPr="007C154F" w14:paraId="064329C2" w14:textId="77777777" w:rsidTr="002D448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8" w:type="pct"/>
            <w:hideMark/>
          </w:tcPr>
          <w:p w14:paraId="15929A21" w14:textId="7E576FC8" w:rsidR="003B18D3" w:rsidRPr="007C154F" w:rsidRDefault="003B18D3" w:rsidP="003B18D3">
            <w:pPr>
              <w:rPr>
                <w:rFonts w:ascii="Times New Roman" w:hAnsi="Times New Roman"/>
                <w:sz w:val="24"/>
                <w:szCs w:val="24"/>
              </w:rPr>
            </w:pPr>
            <w:r w:rsidRPr="007C154F">
              <w:rPr>
                <w:rFonts w:ascii="Times New Roman" w:hAnsi="Times New Roman"/>
                <w:sz w:val="24"/>
                <w:szCs w:val="24"/>
              </w:rPr>
              <w:t xml:space="preserve">Height, kg, median (IQR) </w:t>
            </w:r>
          </w:p>
        </w:tc>
        <w:tc>
          <w:tcPr>
            <w:tcW w:w="1595" w:type="pct"/>
            <w:hideMark/>
          </w:tcPr>
          <w:p w14:paraId="342F9DAF" w14:textId="39FC6D95" w:rsidR="003B18D3" w:rsidRPr="007C154F" w:rsidRDefault="003B18D3" w:rsidP="003B18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C154F">
              <w:rPr>
                <w:rFonts w:ascii="Times New Roman" w:hAnsi="Times New Roman"/>
                <w:color w:val="000000" w:themeColor="text1"/>
                <w:kern w:val="24"/>
                <w:sz w:val="24"/>
                <w:szCs w:val="24"/>
              </w:rPr>
              <w:t>154.9 (129.5-167.6)</w:t>
            </w:r>
          </w:p>
        </w:tc>
        <w:tc>
          <w:tcPr>
            <w:tcW w:w="1678" w:type="pct"/>
            <w:hideMark/>
          </w:tcPr>
          <w:p w14:paraId="21C1172C" w14:textId="64945DCF" w:rsidR="003B18D3" w:rsidRPr="007C154F" w:rsidRDefault="003B18D3" w:rsidP="003B18D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C154F">
              <w:rPr>
                <w:rFonts w:ascii="Times New Roman" w:hAnsi="Times New Roman"/>
                <w:color w:val="000000" w:themeColor="text1"/>
                <w:kern w:val="24"/>
                <w:sz w:val="24"/>
                <w:szCs w:val="24"/>
              </w:rPr>
              <w:t>139.7 (118-160)</w:t>
            </w:r>
          </w:p>
        </w:tc>
      </w:tr>
      <w:tr w:rsidR="003F5ECE" w:rsidRPr="007C154F" w14:paraId="5F42EF7B" w14:textId="77777777" w:rsidTr="002D448C">
        <w:trPr>
          <w:trHeight w:val="70"/>
        </w:trPr>
        <w:tc>
          <w:tcPr>
            <w:cnfStyle w:val="001000000000" w:firstRow="0" w:lastRow="0" w:firstColumn="1" w:lastColumn="0" w:oddVBand="0" w:evenVBand="0" w:oddHBand="0" w:evenHBand="0" w:firstRowFirstColumn="0" w:firstRowLastColumn="0" w:lastRowFirstColumn="0" w:lastRowLastColumn="0"/>
            <w:tcW w:w="1728" w:type="pct"/>
            <w:hideMark/>
          </w:tcPr>
          <w:p w14:paraId="59A5AB7A" w14:textId="77777777" w:rsidR="003F5ECE" w:rsidRPr="007C154F" w:rsidRDefault="003F5ECE" w:rsidP="003F5ECE">
            <w:pPr>
              <w:rPr>
                <w:rFonts w:ascii="Times New Roman" w:hAnsi="Times New Roman"/>
                <w:sz w:val="24"/>
                <w:szCs w:val="24"/>
              </w:rPr>
            </w:pPr>
            <w:r w:rsidRPr="007C154F">
              <w:rPr>
                <w:rFonts w:ascii="Times New Roman" w:hAnsi="Times New Roman"/>
                <w:kern w:val="24"/>
                <w:sz w:val="24"/>
                <w:szCs w:val="24"/>
              </w:rPr>
              <w:t>Temp, Celsius, median (IQR)</w:t>
            </w:r>
          </w:p>
        </w:tc>
        <w:tc>
          <w:tcPr>
            <w:tcW w:w="1595" w:type="pct"/>
            <w:hideMark/>
          </w:tcPr>
          <w:p w14:paraId="43B04368" w14:textId="6FC001F2" w:rsidR="003F5ECE" w:rsidRPr="007C154F" w:rsidRDefault="003F5ECE" w:rsidP="003F5E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C154F">
              <w:rPr>
                <w:rFonts w:ascii="Times New Roman" w:hAnsi="Times New Roman"/>
                <w:color w:val="000000" w:themeColor="text1"/>
                <w:kern w:val="24"/>
                <w:sz w:val="24"/>
                <w:szCs w:val="24"/>
              </w:rPr>
              <w:t>37.2 (36.6-37.7)</w:t>
            </w:r>
          </w:p>
        </w:tc>
        <w:tc>
          <w:tcPr>
            <w:tcW w:w="1678" w:type="pct"/>
            <w:hideMark/>
          </w:tcPr>
          <w:p w14:paraId="5C16CFAF" w14:textId="09089399" w:rsidR="003F5ECE" w:rsidRPr="007C154F" w:rsidRDefault="003F5ECE" w:rsidP="003F5E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C154F">
              <w:rPr>
                <w:rFonts w:ascii="Times New Roman" w:hAnsi="Times New Roman"/>
                <w:color w:val="000000" w:themeColor="text1"/>
                <w:kern w:val="24"/>
                <w:sz w:val="24"/>
                <w:szCs w:val="24"/>
              </w:rPr>
              <w:t>37.2 (36.7-38.0)</w:t>
            </w:r>
          </w:p>
        </w:tc>
      </w:tr>
      <w:tr w:rsidR="003F5ECE" w:rsidRPr="007C154F" w14:paraId="19770058" w14:textId="77777777" w:rsidTr="002D448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8" w:type="pct"/>
          </w:tcPr>
          <w:p w14:paraId="7B3BF61E" w14:textId="29130C55" w:rsidR="003F5ECE" w:rsidRPr="007C154F" w:rsidRDefault="003F5ECE" w:rsidP="003F5ECE">
            <w:pPr>
              <w:rPr>
                <w:rFonts w:ascii="Times New Roman" w:hAnsi="Times New Roman"/>
                <w:sz w:val="24"/>
                <w:szCs w:val="24"/>
              </w:rPr>
            </w:pPr>
            <w:r w:rsidRPr="007C154F">
              <w:rPr>
                <w:rFonts w:ascii="Times New Roman" w:hAnsi="Times New Roman"/>
                <w:kern w:val="24"/>
                <w:sz w:val="24"/>
                <w:szCs w:val="24"/>
              </w:rPr>
              <w:t>HR, bpm, median (IQR)</w:t>
            </w:r>
          </w:p>
        </w:tc>
        <w:tc>
          <w:tcPr>
            <w:tcW w:w="1595" w:type="pct"/>
          </w:tcPr>
          <w:p w14:paraId="465DD203" w14:textId="5ACCD1C0" w:rsidR="003F5ECE" w:rsidRPr="007C154F" w:rsidRDefault="003F5ECE" w:rsidP="003F5E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C154F">
              <w:rPr>
                <w:rFonts w:ascii="Times New Roman" w:hAnsi="Times New Roman"/>
                <w:color w:val="000000" w:themeColor="text1"/>
                <w:kern w:val="24"/>
                <w:sz w:val="24"/>
                <w:szCs w:val="24"/>
              </w:rPr>
              <w:t>114 (89-126)</w:t>
            </w:r>
          </w:p>
        </w:tc>
        <w:tc>
          <w:tcPr>
            <w:tcW w:w="1678" w:type="pct"/>
          </w:tcPr>
          <w:p w14:paraId="184E9356" w14:textId="7E97876A" w:rsidR="003F5ECE" w:rsidRPr="007C154F" w:rsidRDefault="003F5ECE" w:rsidP="003F5E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C154F">
              <w:rPr>
                <w:rFonts w:ascii="Times New Roman" w:hAnsi="Times New Roman"/>
                <w:color w:val="000000" w:themeColor="text1"/>
                <w:kern w:val="24"/>
                <w:sz w:val="24"/>
                <w:szCs w:val="24"/>
              </w:rPr>
              <w:t>121 (101-133)</w:t>
            </w:r>
          </w:p>
        </w:tc>
      </w:tr>
      <w:tr w:rsidR="003F5ECE" w:rsidRPr="007C154F" w14:paraId="058BEBD6" w14:textId="77777777" w:rsidTr="002D448C">
        <w:trPr>
          <w:trHeight w:val="70"/>
        </w:trPr>
        <w:tc>
          <w:tcPr>
            <w:cnfStyle w:val="001000000000" w:firstRow="0" w:lastRow="0" w:firstColumn="1" w:lastColumn="0" w:oddVBand="0" w:evenVBand="0" w:oddHBand="0" w:evenHBand="0" w:firstRowFirstColumn="0" w:firstRowLastColumn="0" w:lastRowFirstColumn="0" w:lastRowLastColumn="0"/>
            <w:tcW w:w="1728" w:type="pct"/>
          </w:tcPr>
          <w:p w14:paraId="0554E8FE" w14:textId="1632F774" w:rsidR="003F5ECE" w:rsidRPr="007C154F" w:rsidRDefault="003F5ECE" w:rsidP="003F5ECE">
            <w:pPr>
              <w:rPr>
                <w:rFonts w:ascii="Times New Roman" w:hAnsi="Times New Roman"/>
                <w:sz w:val="24"/>
                <w:szCs w:val="24"/>
              </w:rPr>
            </w:pPr>
            <w:r w:rsidRPr="007C154F">
              <w:rPr>
                <w:rFonts w:ascii="Times New Roman" w:hAnsi="Times New Roman"/>
                <w:kern w:val="24"/>
                <w:sz w:val="24"/>
                <w:szCs w:val="24"/>
              </w:rPr>
              <w:t>RR, bpm, median (IQR)</w:t>
            </w:r>
          </w:p>
        </w:tc>
        <w:tc>
          <w:tcPr>
            <w:tcW w:w="1595" w:type="pct"/>
          </w:tcPr>
          <w:p w14:paraId="257B1485" w14:textId="3C4BE00D" w:rsidR="003F5ECE" w:rsidRPr="007C154F" w:rsidRDefault="003F5ECE" w:rsidP="003F5E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C154F">
              <w:rPr>
                <w:rFonts w:ascii="Times New Roman" w:hAnsi="Times New Roman"/>
                <w:color w:val="000000" w:themeColor="text1"/>
                <w:kern w:val="24"/>
                <w:sz w:val="24"/>
                <w:szCs w:val="24"/>
              </w:rPr>
              <w:t>20.0 (20-26)</w:t>
            </w:r>
          </w:p>
        </w:tc>
        <w:tc>
          <w:tcPr>
            <w:tcW w:w="1678" w:type="pct"/>
          </w:tcPr>
          <w:p w14:paraId="7DCEE74A" w14:textId="45DF346E" w:rsidR="003F5ECE" w:rsidRPr="007C154F" w:rsidRDefault="003F5ECE" w:rsidP="003F5E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C154F">
              <w:rPr>
                <w:rFonts w:ascii="Times New Roman" w:hAnsi="Times New Roman"/>
                <w:color w:val="000000" w:themeColor="text1"/>
                <w:kern w:val="24"/>
                <w:sz w:val="24"/>
                <w:szCs w:val="24"/>
              </w:rPr>
              <w:t>24.0 (20-30)</w:t>
            </w:r>
          </w:p>
        </w:tc>
      </w:tr>
      <w:tr w:rsidR="003F5ECE" w:rsidRPr="007C154F" w14:paraId="3037A079" w14:textId="77777777" w:rsidTr="002D448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8" w:type="pct"/>
          </w:tcPr>
          <w:p w14:paraId="63E31E39" w14:textId="1EEB3468" w:rsidR="003F5ECE" w:rsidRPr="007C154F" w:rsidRDefault="003F5ECE" w:rsidP="003F5ECE">
            <w:pPr>
              <w:rPr>
                <w:rFonts w:ascii="Times New Roman" w:hAnsi="Times New Roman"/>
                <w:sz w:val="24"/>
                <w:szCs w:val="24"/>
              </w:rPr>
            </w:pPr>
            <w:r w:rsidRPr="007C154F">
              <w:rPr>
                <w:rFonts w:ascii="Times New Roman" w:hAnsi="Times New Roman"/>
                <w:kern w:val="24"/>
                <w:sz w:val="24"/>
                <w:szCs w:val="24"/>
              </w:rPr>
              <w:t>O2, %, median (IQR)</w:t>
            </w:r>
          </w:p>
        </w:tc>
        <w:tc>
          <w:tcPr>
            <w:tcW w:w="1595" w:type="pct"/>
          </w:tcPr>
          <w:p w14:paraId="1B0B545D" w14:textId="40464875" w:rsidR="003F5ECE" w:rsidRPr="007C154F" w:rsidRDefault="003F5ECE" w:rsidP="003F5E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C154F">
              <w:rPr>
                <w:rFonts w:ascii="Times New Roman" w:hAnsi="Times New Roman"/>
                <w:color w:val="000000" w:themeColor="text1"/>
                <w:kern w:val="24"/>
                <w:sz w:val="24"/>
                <w:szCs w:val="24"/>
              </w:rPr>
              <w:t>97 (96-100)</w:t>
            </w:r>
          </w:p>
        </w:tc>
        <w:tc>
          <w:tcPr>
            <w:tcW w:w="1678" w:type="pct"/>
          </w:tcPr>
          <w:p w14:paraId="1CB03D98" w14:textId="63567FB4" w:rsidR="003F5ECE" w:rsidRPr="007C154F" w:rsidRDefault="003F5ECE" w:rsidP="003F5E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C154F">
              <w:rPr>
                <w:rFonts w:ascii="Times New Roman" w:hAnsi="Times New Roman"/>
                <w:color w:val="000000" w:themeColor="text1"/>
                <w:kern w:val="24"/>
                <w:sz w:val="24"/>
                <w:szCs w:val="24"/>
              </w:rPr>
              <w:t>96 (93-98)</w:t>
            </w:r>
          </w:p>
        </w:tc>
      </w:tr>
      <w:tr w:rsidR="003F5ECE" w:rsidRPr="007C154F" w14:paraId="42D96427" w14:textId="77777777" w:rsidTr="002D448C">
        <w:trPr>
          <w:trHeight w:val="70"/>
        </w:trPr>
        <w:tc>
          <w:tcPr>
            <w:cnfStyle w:val="001000000000" w:firstRow="0" w:lastRow="0" w:firstColumn="1" w:lastColumn="0" w:oddVBand="0" w:evenVBand="0" w:oddHBand="0" w:evenHBand="0" w:firstRowFirstColumn="0" w:firstRowLastColumn="0" w:lastRowFirstColumn="0" w:lastRowLastColumn="0"/>
            <w:tcW w:w="1728" w:type="pct"/>
          </w:tcPr>
          <w:p w14:paraId="61141AE5" w14:textId="086DF602" w:rsidR="003F5ECE" w:rsidRPr="007C154F" w:rsidRDefault="003F5ECE" w:rsidP="003F5ECE">
            <w:pPr>
              <w:rPr>
                <w:rFonts w:ascii="Times New Roman" w:hAnsi="Times New Roman"/>
                <w:sz w:val="24"/>
                <w:szCs w:val="24"/>
              </w:rPr>
            </w:pPr>
            <w:r w:rsidRPr="007C154F">
              <w:rPr>
                <w:rFonts w:ascii="Times New Roman" w:hAnsi="Times New Roman"/>
                <w:kern w:val="24"/>
                <w:sz w:val="24"/>
                <w:szCs w:val="24"/>
              </w:rPr>
              <w:t>MAP, mmHg, median (IQR)</w:t>
            </w:r>
          </w:p>
        </w:tc>
        <w:tc>
          <w:tcPr>
            <w:tcW w:w="1595" w:type="pct"/>
          </w:tcPr>
          <w:p w14:paraId="5B58B455" w14:textId="7D83677D" w:rsidR="003F5ECE" w:rsidRPr="007C154F" w:rsidRDefault="003F5ECE" w:rsidP="003F5E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C154F">
              <w:rPr>
                <w:rFonts w:ascii="Times New Roman" w:hAnsi="Times New Roman"/>
                <w:color w:val="000000" w:themeColor="text1"/>
                <w:kern w:val="24"/>
                <w:sz w:val="24"/>
                <w:szCs w:val="24"/>
              </w:rPr>
              <w:t>83 (75-96)</w:t>
            </w:r>
          </w:p>
        </w:tc>
        <w:tc>
          <w:tcPr>
            <w:tcW w:w="1678" w:type="pct"/>
          </w:tcPr>
          <w:p w14:paraId="750B055B" w14:textId="35263287" w:rsidR="003F5ECE" w:rsidRPr="007C154F" w:rsidRDefault="003F5ECE" w:rsidP="003F5E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C154F">
              <w:rPr>
                <w:rFonts w:ascii="Times New Roman" w:hAnsi="Times New Roman"/>
                <w:color w:val="000000" w:themeColor="text1"/>
                <w:kern w:val="24"/>
                <w:sz w:val="24"/>
                <w:szCs w:val="24"/>
              </w:rPr>
              <w:t>84 (78-91)</w:t>
            </w:r>
          </w:p>
        </w:tc>
      </w:tr>
      <w:tr w:rsidR="003F5ECE" w:rsidRPr="007C154F" w14:paraId="42FD296F" w14:textId="77777777" w:rsidTr="002D448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8" w:type="pct"/>
          </w:tcPr>
          <w:p w14:paraId="126E4E11" w14:textId="156D324C" w:rsidR="003F5ECE" w:rsidRPr="007C154F" w:rsidRDefault="003F5ECE" w:rsidP="003F5ECE">
            <w:pPr>
              <w:rPr>
                <w:rFonts w:ascii="Times New Roman" w:hAnsi="Times New Roman"/>
                <w:sz w:val="24"/>
                <w:szCs w:val="24"/>
              </w:rPr>
            </w:pPr>
            <w:r w:rsidRPr="007C154F">
              <w:rPr>
                <w:rFonts w:ascii="Times New Roman" w:hAnsi="Times New Roman"/>
                <w:kern w:val="24"/>
                <w:sz w:val="24"/>
                <w:szCs w:val="24"/>
              </w:rPr>
              <w:t>WBC, cellsx10</w:t>
            </w:r>
            <w:r w:rsidRPr="007C154F">
              <w:rPr>
                <w:rFonts w:ascii="Times New Roman" w:hAnsi="Times New Roman"/>
                <w:kern w:val="24"/>
                <w:position w:val="14"/>
                <w:sz w:val="24"/>
                <w:szCs w:val="24"/>
                <w:vertAlign w:val="superscript"/>
              </w:rPr>
              <w:t>3</w:t>
            </w:r>
            <w:r w:rsidRPr="007C154F">
              <w:rPr>
                <w:rFonts w:ascii="Times New Roman" w:hAnsi="Times New Roman"/>
                <w:kern w:val="24"/>
                <w:sz w:val="24"/>
                <w:szCs w:val="24"/>
              </w:rPr>
              <w:t>, median (IQR)</w:t>
            </w:r>
          </w:p>
        </w:tc>
        <w:tc>
          <w:tcPr>
            <w:tcW w:w="1595" w:type="pct"/>
          </w:tcPr>
          <w:p w14:paraId="2CB59A26" w14:textId="192F4B81" w:rsidR="003F5ECE" w:rsidRPr="007C154F" w:rsidRDefault="003F5ECE" w:rsidP="003F5E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C154F">
              <w:rPr>
                <w:rFonts w:ascii="Times New Roman" w:hAnsi="Times New Roman"/>
                <w:color w:val="000000" w:themeColor="text1"/>
                <w:kern w:val="24"/>
                <w:sz w:val="24"/>
                <w:szCs w:val="24"/>
              </w:rPr>
              <w:t>12.5 (8.6-15.9)</w:t>
            </w:r>
          </w:p>
        </w:tc>
        <w:tc>
          <w:tcPr>
            <w:tcW w:w="1678" w:type="pct"/>
          </w:tcPr>
          <w:p w14:paraId="4DE77194" w14:textId="467048B0" w:rsidR="003F5ECE" w:rsidRPr="007C154F" w:rsidRDefault="003F5ECE" w:rsidP="003F5E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C154F">
              <w:rPr>
                <w:rFonts w:ascii="Times New Roman" w:hAnsi="Times New Roman"/>
                <w:color w:val="000000" w:themeColor="text1"/>
                <w:kern w:val="24"/>
                <w:sz w:val="24"/>
                <w:szCs w:val="24"/>
              </w:rPr>
              <w:t>10.6 (7.3-15.6)</w:t>
            </w:r>
          </w:p>
        </w:tc>
      </w:tr>
      <w:tr w:rsidR="00AB4367" w:rsidRPr="007C154F" w14:paraId="3FC65EF9" w14:textId="77777777" w:rsidTr="002D448C">
        <w:trPr>
          <w:trHeight w:val="70"/>
        </w:trPr>
        <w:tc>
          <w:tcPr>
            <w:cnfStyle w:val="001000000000" w:firstRow="0" w:lastRow="0" w:firstColumn="1" w:lastColumn="0" w:oddVBand="0" w:evenVBand="0" w:oddHBand="0" w:evenHBand="0" w:firstRowFirstColumn="0" w:firstRowLastColumn="0" w:lastRowFirstColumn="0" w:lastRowLastColumn="0"/>
            <w:tcW w:w="1728" w:type="pct"/>
          </w:tcPr>
          <w:p w14:paraId="052B6C08" w14:textId="1442AF1B" w:rsidR="00AB4367" w:rsidRPr="007C154F" w:rsidRDefault="00AB4367" w:rsidP="00AB4367">
            <w:pPr>
              <w:rPr>
                <w:rFonts w:ascii="Times New Roman" w:hAnsi="Times New Roman"/>
                <w:sz w:val="24"/>
                <w:szCs w:val="24"/>
              </w:rPr>
            </w:pPr>
            <w:r w:rsidRPr="007C154F">
              <w:rPr>
                <w:rFonts w:ascii="Times New Roman" w:hAnsi="Times New Roman"/>
                <w:kern w:val="24"/>
                <w:sz w:val="24"/>
                <w:szCs w:val="24"/>
              </w:rPr>
              <w:t>Positive culture, % (n)</w:t>
            </w:r>
          </w:p>
        </w:tc>
        <w:tc>
          <w:tcPr>
            <w:tcW w:w="1595" w:type="pct"/>
          </w:tcPr>
          <w:p w14:paraId="6DDC272D" w14:textId="5D445043" w:rsidR="00AB4367" w:rsidRPr="007C154F" w:rsidRDefault="00AB4367" w:rsidP="00AB436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C154F">
              <w:rPr>
                <w:rFonts w:ascii="Times New Roman" w:hAnsi="Times New Roman"/>
                <w:kern w:val="24"/>
                <w:sz w:val="24"/>
                <w:szCs w:val="24"/>
              </w:rPr>
              <w:t>25 (13)</w:t>
            </w:r>
          </w:p>
        </w:tc>
        <w:tc>
          <w:tcPr>
            <w:tcW w:w="1678" w:type="pct"/>
          </w:tcPr>
          <w:p w14:paraId="31D7D2FF" w14:textId="20C7EFAF" w:rsidR="00AB4367" w:rsidRPr="007C154F" w:rsidRDefault="00AB4367" w:rsidP="00AB436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C154F">
              <w:rPr>
                <w:rFonts w:ascii="Times New Roman" w:hAnsi="Times New Roman"/>
                <w:kern w:val="24"/>
                <w:sz w:val="24"/>
                <w:szCs w:val="24"/>
              </w:rPr>
              <w:t>15.2 (16)</w:t>
            </w:r>
          </w:p>
        </w:tc>
      </w:tr>
      <w:tr w:rsidR="00AB4367" w:rsidRPr="007C154F" w14:paraId="099DBC71" w14:textId="77777777" w:rsidTr="002D448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8" w:type="pct"/>
          </w:tcPr>
          <w:p w14:paraId="3836443C" w14:textId="3142E225" w:rsidR="00AB4367" w:rsidRPr="007C154F" w:rsidRDefault="00AB4367" w:rsidP="00AB4367">
            <w:pPr>
              <w:rPr>
                <w:rFonts w:ascii="Times New Roman" w:hAnsi="Times New Roman"/>
                <w:sz w:val="24"/>
                <w:szCs w:val="24"/>
              </w:rPr>
            </w:pPr>
            <w:r w:rsidRPr="007C154F">
              <w:rPr>
                <w:rFonts w:ascii="Times New Roman" w:hAnsi="Times New Roman"/>
                <w:kern w:val="24"/>
                <w:sz w:val="24"/>
                <w:szCs w:val="24"/>
              </w:rPr>
              <w:t>Positive viral test, % (n)</w:t>
            </w:r>
          </w:p>
        </w:tc>
        <w:tc>
          <w:tcPr>
            <w:tcW w:w="1595" w:type="pct"/>
          </w:tcPr>
          <w:p w14:paraId="14E47A1B" w14:textId="6DEA698C" w:rsidR="00AB4367" w:rsidRPr="007C154F" w:rsidRDefault="00AB4367" w:rsidP="00AB43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C154F">
              <w:rPr>
                <w:rFonts w:ascii="Times New Roman" w:hAnsi="Times New Roman"/>
                <w:kern w:val="24"/>
                <w:sz w:val="24"/>
                <w:szCs w:val="24"/>
              </w:rPr>
              <w:t>17.3 (9)</w:t>
            </w:r>
          </w:p>
        </w:tc>
        <w:tc>
          <w:tcPr>
            <w:tcW w:w="1678" w:type="pct"/>
          </w:tcPr>
          <w:p w14:paraId="1C2D1C27" w14:textId="54E02455" w:rsidR="00AB4367" w:rsidRPr="007C154F" w:rsidRDefault="00AB4367" w:rsidP="00AB43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C154F">
              <w:rPr>
                <w:rFonts w:ascii="Times New Roman" w:hAnsi="Times New Roman"/>
                <w:kern w:val="24"/>
                <w:sz w:val="24"/>
                <w:szCs w:val="24"/>
              </w:rPr>
              <w:t>22.9 (24)</w:t>
            </w:r>
          </w:p>
        </w:tc>
      </w:tr>
      <w:tr w:rsidR="00AB4367" w:rsidRPr="007C154F" w14:paraId="56508E06" w14:textId="77777777" w:rsidTr="002D448C">
        <w:trPr>
          <w:trHeight w:val="70"/>
        </w:trPr>
        <w:tc>
          <w:tcPr>
            <w:cnfStyle w:val="001000000000" w:firstRow="0" w:lastRow="0" w:firstColumn="1" w:lastColumn="0" w:oddVBand="0" w:evenVBand="0" w:oddHBand="0" w:evenHBand="0" w:firstRowFirstColumn="0" w:firstRowLastColumn="0" w:lastRowFirstColumn="0" w:lastRowLastColumn="0"/>
            <w:tcW w:w="1728" w:type="pct"/>
          </w:tcPr>
          <w:p w14:paraId="0352FE57" w14:textId="35DEB01D" w:rsidR="00AB4367" w:rsidRPr="007C154F" w:rsidRDefault="00AB4367" w:rsidP="005E0D96">
            <w:pPr>
              <w:jc w:val="right"/>
              <w:rPr>
                <w:rFonts w:ascii="Times New Roman" w:hAnsi="Times New Roman"/>
                <w:sz w:val="24"/>
                <w:szCs w:val="24"/>
              </w:rPr>
            </w:pPr>
            <w:r w:rsidRPr="007C154F">
              <w:rPr>
                <w:rFonts w:ascii="Times New Roman" w:hAnsi="Times New Roman"/>
                <w:kern w:val="24"/>
                <w:sz w:val="24"/>
                <w:szCs w:val="24"/>
              </w:rPr>
              <w:t>Influenza A, % (n)</w:t>
            </w:r>
          </w:p>
        </w:tc>
        <w:tc>
          <w:tcPr>
            <w:tcW w:w="1595" w:type="pct"/>
          </w:tcPr>
          <w:p w14:paraId="21F4076E" w14:textId="3B171D34" w:rsidR="00AB4367" w:rsidRPr="007C154F" w:rsidRDefault="00AB4367" w:rsidP="00AB436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C154F">
              <w:rPr>
                <w:rFonts w:ascii="Times New Roman" w:hAnsi="Times New Roman"/>
                <w:kern w:val="24"/>
                <w:sz w:val="24"/>
                <w:szCs w:val="24"/>
              </w:rPr>
              <w:t>1.9 (1)</w:t>
            </w:r>
          </w:p>
        </w:tc>
        <w:tc>
          <w:tcPr>
            <w:tcW w:w="1678" w:type="pct"/>
          </w:tcPr>
          <w:p w14:paraId="29CDC6CE" w14:textId="00C83779" w:rsidR="00AB4367" w:rsidRPr="007C154F" w:rsidRDefault="00AB4367" w:rsidP="00AB436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C154F">
              <w:rPr>
                <w:rFonts w:ascii="Times New Roman" w:hAnsi="Times New Roman"/>
                <w:kern w:val="24"/>
                <w:sz w:val="24"/>
                <w:szCs w:val="24"/>
              </w:rPr>
              <w:t>13.3 (14)</w:t>
            </w:r>
          </w:p>
        </w:tc>
      </w:tr>
      <w:tr w:rsidR="00AB4367" w:rsidRPr="007C154F" w14:paraId="665800E5" w14:textId="77777777" w:rsidTr="002D448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8" w:type="pct"/>
          </w:tcPr>
          <w:p w14:paraId="6AA73489" w14:textId="1C04DFCC" w:rsidR="00AB4367" w:rsidRPr="007C154F" w:rsidRDefault="00AB4367" w:rsidP="005E0D96">
            <w:pPr>
              <w:jc w:val="right"/>
              <w:rPr>
                <w:rFonts w:ascii="Times New Roman" w:hAnsi="Times New Roman"/>
                <w:sz w:val="24"/>
                <w:szCs w:val="24"/>
              </w:rPr>
            </w:pPr>
            <w:r w:rsidRPr="007C154F">
              <w:rPr>
                <w:rFonts w:ascii="Times New Roman" w:hAnsi="Times New Roman"/>
                <w:kern w:val="24"/>
                <w:sz w:val="24"/>
                <w:szCs w:val="24"/>
              </w:rPr>
              <w:t>Influenza B, % (n)</w:t>
            </w:r>
          </w:p>
        </w:tc>
        <w:tc>
          <w:tcPr>
            <w:tcW w:w="1595" w:type="pct"/>
          </w:tcPr>
          <w:p w14:paraId="2B9752F3" w14:textId="020A497D" w:rsidR="00AB4367" w:rsidRPr="007C154F" w:rsidRDefault="00AB4367" w:rsidP="00AB43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C154F">
              <w:rPr>
                <w:rFonts w:ascii="Times New Roman" w:hAnsi="Times New Roman"/>
                <w:kern w:val="24"/>
                <w:sz w:val="24"/>
                <w:szCs w:val="24"/>
              </w:rPr>
              <w:t>0 (0)</w:t>
            </w:r>
          </w:p>
        </w:tc>
        <w:tc>
          <w:tcPr>
            <w:tcW w:w="1678" w:type="pct"/>
          </w:tcPr>
          <w:p w14:paraId="6755EC52" w14:textId="5FB1FE1D" w:rsidR="00AB4367" w:rsidRPr="007C154F" w:rsidRDefault="00AB4367" w:rsidP="00AB43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C154F">
              <w:rPr>
                <w:rFonts w:ascii="Times New Roman" w:hAnsi="Times New Roman"/>
                <w:kern w:val="24"/>
                <w:sz w:val="24"/>
                <w:szCs w:val="24"/>
              </w:rPr>
              <w:t>0 (0)</w:t>
            </w:r>
          </w:p>
        </w:tc>
      </w:tr>
      <w:tr w:rsidR="00AB4367" w:rsidRPr="007C154F" w14:paraId="64A12FF9" w14:textId="77777777" w:rsidTr="002D448C">
        <w:trPr>
          <w:trHeight w:val="70"/>
        </w:trPr>
        <w:tc>
          <w:tcPr>
            <w:cnfStyle w:val="001000000000" w:firstRow="0" w:lastRow="0" w:firstColumn="1" w:lastColumn="0" w:oddVBand="0" w:evenVBand="0" w:oddHBand="0" w:evenHBand="0" w:firstRowFirstColumn="0" w:firstRowLastColumn="0" w:lastRowFirstColumn="0" w:lastRowLastColumn="0"/>
            <w:tcW w:w="1728" w:type="pct"/>
          </w:tcPr>
          <w:p w14:paraId="59273BBD" w14:textId="4A6E7B7C" w:rsidR="00AB4367" w:rsidRPr="007C154F" w:rsidRDefault="00AB4367" w:rsidP="005E0D96">
            <w:pPr>
              <w:jc w:val="right"/>
              <w:rPr>
                <w:rFonts w:ascii="Times New Roman" w:hAnsi="Times New Roman"/>
                <w:sz w:val="24"/>
                <w:szCs w:val="24"/>
              </w:rPr>
            </w:pPr>
            <w:r w:rsidRPr="007C154F">
              <w:rPr>
                <w:rFonts w:ascii="Times New Roman" w:hAnsi="Times New Roman"/>
                <w:kern w:val="24"/>
                <w:sz w:val="24"/>
                <w:szCs w:val="24"/>
              </w:rPr>
              <w:t>RSV, % (n)</w:t>
            </w:r>
          </w:p>
        </w:tc>
        <w:tc>
          <w:tcPr>
            <w:tcW w:w="1595" w:type="pct"/>
          </w:tcPr>
          <w:p w14:paraId="512BA6BD" w14:textId="0B842E26" w:rsidR="00AB4367" w:rsidRPr="007C154F" w:rsidRDefault="00AB4367" w:rsidP="00AB436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C154F">
              <w:rPr>
                <w:rFonts w:ascii="Times New Roman" w:hAnsi="Times New Roman"/>
                <w:kern w:val="24"/>
                <w:sz w:val="24"/>
                <w:szCs w:val="24"/>
              </w:rPr>
              <w:t>1.9 (1)</w:t>
            </w:r>
          </w:p>
        </w:tc>
        <w:tc>
          <w:tcPr>
            <w:tcW w:w="1678" w:type="pct"/>
          </w:tcPr>
          <w:p w14:paraId="12A87BC7" w14:textId="68EB2312" w:rsidR="00AB4367" w:rsidRPr="007C154F" w:rsidRDefault="00AB4367" w:rsidP="00AB436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C154F">
              <w:rPr>
                <w:rFonts w:ascii="Times New Roman" w:hAnsi="Times New Roman"/>
                <w:kern w:val="24"/>
                <w:sz w:val="24"/>
                <w:szCs w:val="24"/>
              </w:rPr>
              <w:t>7.6 (8)</w:t>
            </w:r>
          </w:p>
        </w:tc>
      </w:tr>
      <w:tr w:rsidR="00AB4367" w:rsidRPr="007C154F" w14:paraId="6F15CEEA" w14:textId="77777777" w:rsidTr="002D448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8" w:type="pct"/>
          </w:tcPr>
          <w:p w14:paraId="16BA4385" w14:textId="1FAD5D61" w:rsidR="00AB4367" w:rsidRPr="007C154F" w:rsidRDefault="00AB4367" w:rsidP="005E0D96">
            <w:pPr>
              <w:jc w:val="right"/>
              <w:rPr>
                <w:rFonts w:ascii="Times New Roman" w:hAnsi="Times New Roman"/>
                <w:sz w:val="24"/>
                <w:szCs w:val="24"/>
              </w:rPr>
            </w:pPr>
            <w:r w:rsidRPr="007C154F">
              <w:rPr>
                <w:rFonts w:ascii="Times New Roman" w:hAnsi="Times New Roman"/>
                <w:kern w:val="24"/>
                <w:sz w:val="24"/>
                <w:szCs w:val="24"/>
              </w:rPr>
              <w:t>Covid-19, % (n)</w:t>
            </w:r>
          </w:p>
        </w:tc>
        <w:tc>
          <w:tcPr>
            <w:tcW w:w="1595" w:type="pct"/>
          </w:tcPr>
          <w:p w14:paraId="02BCF38D" w14:textId="58E42508" w:rsidR="00AB4367" w:rsidRPr="007C154F" w:rsidRDefault="00AB4367" w:rsidP="00AB43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C154F">
              <w:rPr>
                <w:rFonts w:ascii="Times New Roman" w:hAnsi="Times New Roman"/>
                <w:kern w:val="24"/>
                <w:sz w:val="24"/>
                <w:szCs w:val="24"/>
              </w:rPr>
              <w:t>15.4 (8)</w:t>
            </w:r>
          </w:p>
        </w:tc>
        <w:tc>
          <w:tcPr>
            <w:tcW w:w="1678" w:type="pct"/>
          </w:tcPr>
          <w:p w14:paraId="25D81E79" w14:textId="436D9918" w:rsidR="00AB4367" w:rsidRPr="007C154F" w:rsidRDefault="00AB4367" w:rsidP="00AB436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7C154F">
              <w:rPr>
                <w:rFonts w:ascii="Times New Roman" w:hAnsi="Times New Roman"/>
                <w:kern w:val="24"/>
                <w:sz w:val="24"/>
                <w:szCs w:val="24"/>
              </w:rPr>
              <w:t>1.9 (2)</w:t>
            </w:r>
          </w:p>
        </w:tc>
      </w:tr>
    </w:tbl>
    <w:p w14:paraId="56710F2B" w14:textId="0A699052" w:rsidR="00A9002E" w:rsidRPr="007C154F" w:rsidRDefault="00E13F6F" w:rsidP="00E13F6F">
      <w:pPr>
        <w:spacing w:after="0"/>
        <w:jc w:val="both"/>
        <w:rPr>
          <w:rFonts w:ascii="Times New Roman" w:hAnsi="Times New Roman"/>
          <w:i/>
          <w:iCs/>
          <w:sz w:val="24"/>
          <w:szCs w:val="24"/>
        </w:rPr>
      </w:pPr>
      <w:r w:rsidRPr="007C154F">
        <w:rPr>
          <w:rFonts w:ascii="Times New Roman" w:hAnsi="Times New Roman"/>
          <w:i/>
          <w:iCs/>
          <w:sz w:val="24"/>
          <w:szCs w:val="24"/>
        </w:rPr>
        <w:t>HR: heart rate, IQR: interquartile range, MAP: mean arterial pressure, O2: oxygen, RR: respiratory rate, WBC: white blood cell count</w:t>
      </w:r>
    </w:p>
    <w:p w14:paraId="33B5FF59" w14:textId="77777777" w:rsidR="002D448C" w:rsidRPr="007C154F" w:rsidRDefault="002D448C" w:rsidP="00E13F6F">
      <w:pPr>
        <w:spacing w:after="0"/>
        <w:jc w:val="both"/>
        <w:rPr>
          <w:rFonts w:ascii="Times New Roman" w:hAnsi="Times New Roman"/>
          <w:i/>
          <w:iCs/>
          <w:sz w:val="24"/>
          <w:szCs w:val="24"/>
          <w:highlight w:val="yellow"/>
        </w:rPr>
      </w:pPr>
    </w:p>
    <w:p w14:paraId="32C92377" w14:textId="5618A99B" w:rsidR="00A9002E" w:rsidRPr="007C154F" w:rsidRDefault="00A9002E" w:rsidP="00A9002E">
      <w:pPr>
        <w:spacing w:after="0"/>
        <w:rPr>
          <w:rFonts w:ascii="Times New Roman" w:hAnsi="Times New Roman"/>
          <w:sz w:val="24"/>
          <w:szCs w:val="24"/>
        </w:rPr>
      </w:pPr>
      <w:r w:rsidRPr="007C154F">
        <w:rPr>
          <w:rFonts w:ascii="Times New Roman" w:hAnsi="Times New Roman"/>
          <w:sz w:val="24"/>
          <w:szCs w:val="24"/>
        </w:rPr>
        <w:t xml:space="preserve">Table 2: </w:t>
      </w:r>
      <w:r w:rsidR="004829ED" w:rsidRPr="007C154F">
        <w:rPr>
          <w:rFonts w:ascii="Times New Roman" w:hAnsi="Times New Roman"/>
          <w:sz w:val="24"/>
          <w:szCs w:val="24"/>
        </w:rPr>
        <w:t xml:space="preserve">Primary </w:t>
      </w:r>
      <w:r w:rsidRPr="007C154F">
        <w:rPr>
          <w:rFonts w:ascii="Times New Roman" w:hAnsi="Times New Roman"/>
          <w:sz w:val="24"/>
          <w:szCs w:val="24"/>
        </w:rPr>
        <w:t>Outcome</w:t>
      </w:r>
    </w:p>
    <w:tbl>
      <w:tblPr>
        <w:tblStyle w:val="GridTable4"/>
        <w:tblW w:w="5000" w:type="pct"/>
        <w:tblLook w:val="04A0" w:firstRow="1" w:lastRow="0" w:firstColumn="1" w:lastColumn="0" w:noHBand="0" w:noVBand="1"/>
      </w:tblPr>
      <w:tblGrid>
        <w:gridCol w:w="3364"/>
        <w:gridCol w:w="2172"/>
        <w:gridCol w:w="2172"/>
        <w:gridCol w:w="2172"/>
      </w:tblGrid>
      <w:tr w:rsidR="00833234" w:rsidRPr="007C154F" w14:paraId="60AD3DBD" w14:textId="77777777" w:rsidTr="00776338">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02" w:type="pct"/>
            <w:hideMark/>
          </w:tcPr>
          <w:p w14:paraId="69624819" w14:textId="6E77DF4D" w:rsidR="00833234" w:rsidRPr="007C154F" w:rsidRDefault="00833234" w:rsidP="00833234">
            <w:pPr>
              <w:rPr>
                <w:rFonts w:ascii="Times New Roman" w:hAnsi="Times New Roman"/>
                <w:sz w:val="24"/>
                <w:szCs w:val="24"/>
                <w:highlight w:val="yellow"/>
              </w:rPr>
            </w:pPr>
            <w:r w:rsidRPr="007C154F">
              <w:rPr>
                <w:rFonts w:ascii="Times New Roman" w:hAnsi="Times New Roman"/>
                <w:color w:val="FFFFFF" w:themeColor="light1"/>
                <w:kern w:val="24"/>
                <w:sz w:val="24"/>
                <w:szCs w:val="24"/>
              </w:rPr>
              <w:t>Outcome</w:t>
            </w:r>
          </w:p>
        </w:tc>
        <w:tc>
          <w:tcPr>
            <w:tcW w:w="1099" w:type="pct"/>
            <w:hideMark/>
          </w:tcPr>
          <w:p w14:paraId="319FE719" w14:textId="77777777" w:rsidR="00833234" w:rsidRPr="007C154F" w:rsidRDefault="00833234" w:rsidP="00833234">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pPr>
            <w:r w:rsidRPr="007C154F">
              <w:rPr>
                <w:kern w:val="24"/>
              </w:rPr>
              <w:t>Pre-Implementation</w:t>
            </w:r>
          </w:p>
          <w:p w14:paraId="7A74C5F0" w14:textId="5E718771" w:rsidR="00833234" w:rsidRPr="007C154F" w:rsidRDefault="00833234" w:rsidP="008332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highlight w:val="yellow"/>
              </w:rPr>
            </w:pPr>
            <w:r w:rsidRPr="007C154F">
              <w:rPr>
                <w:rFonts w:ascii="Times New Roman" w:hAnsi="Times New Roman"/>
                <w:kern w:val="24"/>
                <w:sz w:val="24"/>
                <w:szCs w:val="24"/>
              </w:rPr>
              <w:t>n = 52</w:t>
            </w:r>
          </w:p>
        </w:tc>
        <w:tc>
          <w:tcPr>
            <w:tcW w:w="1099" w:type="pct"/>
            <w:hideMark/>
          </w:tcPr>
          <w:p w14:paraId="135BCE09" w14:textId="77777777" w:rsidR="00833234" w:rsidRPr="007C154F" w:rsidRDefault="00833234" w:rsidP="00833234">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pPr>
            <w:r w:rsidRPr="007C154F">
              <w:rPr>
                <w:kern w:val="24"/>
              </w:rPr>
              <w:t>Post-Implementation</w:t>
            </w:r>
          </w:p>
          <w:p w14:paraId="6CDA86BD" w14:textId="43FBE8BD" w:rsidR="00833234" w:rsidRPr="007C154F" w:rsidRDefault="00833234" w:rsidP="008332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highlight w:val="yellow"/>
              </w:rPr>
            </w:pPr>
            <w:r w:rsidRPr="007C154F">
              <w:rPr>
                <w:rFonts w:ascii="Times New Roman" w:hAnsi="Times New Roman"/>
                <w:kern w:val="24"/>
                <w:sz w:val="24"/>
                <w:szCs w:val="24"/>
              </w:rPr>
              <w:t>n = 105</w:t>
            </w:r>
          </w:p>
        </w:tc>
        <w:tc>
          <w:tcPr>
            <w:tcW w:w="1099" w:type="pct"/>
            <w:hideMark/>
          </w:tcPr>
          <w:p w14:paraId="166FF8EC" w14:textId="0A82AF18" w:rsidR="00833234" w:rsidRPr="007C154F" w:rsidRDefault="00833234" w:rsidP="0083323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highlight w:val="yellow"/>
              </w:rPr>
            </w:pPr>
            <w:r w:rsidRPr="007C154F">
              <w:rPr>
                <w:rFonts w:ascii="Times New Roman" w:hAnsi="Times New Roman"/>
                <w:color w:val="FFFFFF" w:themeColor="light1"/>
                <w:kern w:val="24"/>
                <w:sz w:val="24"/>
                <w:szCs w:val="24"/>
              </w:rPr>
              <w:t>P-value</w:t>
            </w:r>
          </w:p>
        </w:tc>
      </w:tr>
      <w:tr w:rsidR="00833234" w:rsidRPr="007C154F" w14:paraId="2C5CCA41" w14:textId="77777777" w:rsidTr="00776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pct"/>
            <w:hideMark/>
          </w:tcPr>
          <w:p w14:paraId="71266ADA" w14:textId="2AD69327" w:rsidR="00833234" w:rsidRPr="007C154F" w:rsidRDefault="00833234" w:rsidP="00833234">
            <w:pPr>
              <w:rPr>
                <w:rFonts w:ascii="Times New Roman" w:hAnsi="Times New Roman"/>
                <w:sz w:val="24"/>
                <w:szCs w:val="24"/>
                <w:highlight w:val="yellow"/>
              </w:rPr>
            </w:pPr>
            <w:r w:rsidRPr="007C154F">
              <w:rPr>
                <w:rFonts w:ascii="Times New Roman" w:hAnsi="Times New Roman"/>
                <w:color w:val="000000" w:themeColor="dark1"/>
                <w:kern w:val="24"/>
                <w:sz w:val="24"/>
                <w:szCs w:val="24"/>
              </w:rPr>
              <w:t>Time to administration, minutes, median (IQR)</w:t>
            </w:r>
          </w:p>
        </w:tc>
        <w:tc>
          <w:tcPr>
            <w:tcW w:w="1099" w:type="pct"/>
            <w:hideMark/>
          </w:tcPr>
          <w:p w14:paraId="69DE1C50" w14:textId="6F5E6940" w:rsidR="00833234" w:rsidRPr="007C154F" w:rsidRDefault="00833234" w:rsidP="008332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highlight w:val="yellow"/>
              </w:rPr>
            </w:pPr>
            <w:r w:rsidRPr="007C154F">
              <w:rPr>
                <w:rFonts w:ascii="Times New Roman" w:hAnsi="Times New Roman"/>
                <w:color w:val="000000" w:themeColor="dark1"/>
                <w:kern w:val="24"/>
                <w:sz w:val="24"/>
                <w:szCs w:val="24"/>
              </w:rPr>
              <w:t>41.5 (29-59)</w:t>
            </w:r>
          </w:p>
        </w:tc>
        <w:tc>
          <w:tcPr>
            <w:tcW w:w="1099" w:type="pct"/>
            <w:hideMark/>
          </w:tcPr>
          <w:p w14:paraId="08F1114B" w14:textId="4934565F" w:rsidR="00833234" w:rsidRPr="007C154F" w:rsidRDefault="00833234" w:rsidP="008332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highlight w:val="yellow"/>
              </w:rPr>
            </w:pPr>
            <w:r w:rsidRPr="007C154F">
              <w:rPr>
                <w:rFonts w:ascii="Times New Roman" w:hAnsi="Times New Roman"/>
                <w:color w:val="000000" w:themeColor="dark1"/>
                <w:kern w:val="24"/>
                <w:sz w:val="24"/>
                <w:szCs w:val="24"/>
              </w:rPr>
              <w:t>43 (26-73)</w:t>
            </w:r>
          </w:p>
        </w:tc>
        <w:tc>
          <w:tcPr>
            <w:tcW w:w="1099" w:type="pct"/>
            <w:hideMark/>
          </w:tcPr>
          <w:p w14:paraId="233110C3" w14:textId="41A268AB" w:rsidR="00833234" w:rsidRPr="007C154F" w:rsidRDefault="00833234" w:rsidP="008332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highlight w:val="yellow"/>
              </w:rPr>
            </w:pPr>
            <w:r w:rsidRPr="007C154F">
              <w:rPr>
                <w:rFonts w:ascii="Times New Roman" w:hAnsi="Times New Roman"/>
                <w:color w:val="000000" w:themeColor="dark1"/>
                <w:kern w:val="24"/>
                <w:sz w:val="24"/>
                <w:szCs w:val="24"/>
              </w:rPr>
              <w:t>0.48</w:t>
            </w:r>
          </w:p>
        </w:tc>
      </w:tr>
      <w:tr w:rsidR="00833234" w:rsidRPr="007C154F" w14:paraId="2222CE7C" w14:textId="77777777" w:rsidTr="00776338">
        <w:trPr>
          <w:trHeight w:val="341"/>
        </w:trPr>
        <w:tc>
          <w:tcPr>
            <w:cnfStyle w:val="001000000000" w:firstRow="0" w:lastRow="0" w:firstColumn="1" w:lastColumn="0" w:oddVBand="0" w:evenVBand="0" w:oddHBand="0" w:evenHBand="0" w:firstRowFirstColumn="0" w:firstRowLastColumn="0" w:lastRowFirstColumn="0" w:lastRowLastColumn="0"/>
            <w:tcW w:w="1702" w:type="pct"/>
            <w:hideMark/>
          </w:tcPr>
          <w:p w14:paraId="350B9070" w14:textId="77777777" w:rsidR="00833234" w:rsidRPr="007C154F" w:rsidRDefault="00833234" w:rsidP="00833234">
            <w:pPr>
              <w:pStyle w:val="NormalWeb"/>
              <w:spacing w:before="0" w:beforeAutospacing="0" w:after="0" w:afterAutospacing="0"/>
              <w:jc w:val="right"/>
              <w:rPr>
                <w:b w:val="0"/>
                <w:bCs w:val="0"/>
              </w:rPr>
            </w:pPr>
            <w:r w:rsidRPr="007C154F">
              <w:rPr>
                <w:rFonts w:eastAsia="Calibri"/>
                <w:b w:val="0"/>
                <w:bCs w:val="0"/>
                <w:color w:val="000000" w:themeColor="dark1"/>
                <w:kern w:val="24"/>
              </w:rPr>
              <w:t xml:space="preserve">Order to verification, </w:t>
            </w:r>
          </w:p>
          <w:p w14:paraId="7EC7E90A" w14:textId="17B0E4BE" w:rsidR="00833234" w:rsidRPr="007C154F" w:rsidRDefault="00833234" w:rsidP="00833234">
            <w:pPr>
              <w:jc w:val="right"/>
              <w:rPr>
                <w:rFonts w:ascii="Times New Roman" w:hAnsi="Times New Roman"/>
                <w:b w:val="0"/>
                <w:bCs w:val="0"/>
                <w:sz w:val="24"/>
                <w:szCs w:val="24"/>
                <w:highlight w:val="yellow"/>
              </w:rPr>
            </w:pPr>
            <w:r w:rsidRPr="007C154F">
              <w:rPr>
                <w:rFonts w:ascii="Times New Roman" w:hAnsi="Times New Roman"/>
                <w:b w:val="0"/>
                <w:bCs w:val="0"/>
                <w:color w:val="000000" w:themeColor="dark1"/>
                <w:kern w:val="24"/>
                <w:sz w:val="24"/>
                <w:szCs w:val="24"/>
              </w:rPr>
              <w:t>minutes, median (IQR)</w:t>
            </w:r>
          </w:p>
        </w:tc>
        <w:tc>
          <w:tcPr>
            <w:tcW w:w="1099" w:type="pct"/>
            <w:hideMark/>
          </w:tcPr>
          <w:p w14:paraId="56442522" w14:textId="65ED87FC" w:rsidR="00833234" w:rsidRPr="007C154F" w:rsidRDefault="00833234" w:rsidP="008332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highlight w:val="yellow"/>
              </w:rPr>
            </w:pPr>
            <w:r w:rsidRPr="007C154F">
              <w:rPr>
                <w:rFonts w:ascii="Times New Roman" w:hAnsi="Times New Roman"/>
                <w:color w:val="000000" w:themeColor="dark1"/>
                <w:kern w:val="24"/>
                <w:sz w:val="24"/>
                <w:szCs w:val="24"/>
              </w:rPr>
              <w:t>6.4 (3.2-11.2)</w:t>
            </w:r>
          </w:p>
        </w:tc>
        <w:tc>
          <w:tcPr>
            <w:tcW w:w="1099" w:type="pct"/>
            <w:hideMark/>
          </w:tcPr>
          <w:p w14:paraId="0F5176FA" w14:textId="2226B3E4" w:rsidR="00833234" w:rsidRPr="007C154F" w:rsidRDefault="00833234" w:rsidP="008332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highlight w:val="yellow"/>
              </w:rPr>
            </w:pPr>
            <w:r w:rsidRPr="007C154F">
              <w:rPr>
                <w:rFonts w:ascii="Times New Roman" w:hAnsi="Times New Roman"/>
                <w:color w:val="000000" w:themeColor="dark1"/>
                <w:kern w:val="24"/>
                <w:sz w:val="24"/>
                <w:szCs w:val="24"/>
              </w:rPr>
              <w:t>6.8 (3.7-11.5)</w:t>
            </w:r>
          </w:p>
        </w:tc>
        <w:tc>
          <w:tcPr>
            <w:tcW w:w="1099" w:type="pct"/>
            <w:hideMark/>
          </w:tcPr>
          <w:p w14:paraId="434DFE55" w14:textId="61AD9B36" w:rsidR="00833234" w:rsidRPr="007C154F" w:rsidRDefault="00833234" w:rsidP="008332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highlight w:val="yellow"/>
              </w:rPr>
            </w:pPr>
            <w:r w:rsidRPr="007C154F">
              <w:rPr>
                <w:rFonts w:ascii="Times New Roman" w:hAnsi="Times New Roman"/>
                <w:color w:val="000000" w:themeColor="dark1"/>
                <w:kern w:val="24"/>
                <w:sz w:val="24"/>
                <w:szCs w:val="24"/>
              </w:rPr>
              <w:t>0.78</w:t>
            </w:r>
          </w:p>
        </w:tc>
      </w:tr>
      <w:tr w:rsidR="00833234" w:rsidRPr="007C154F" w14:paraId="12E3C321" w14:textId="77777777" w:rsidTr="00776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pct"/>
            <w:hideMark/>
          </w:tcPr>
          <w:p w14:paraId="2C582917" w14:textId="10854B70" w:rsidR="00833234" w:rsidRPr="007C154F" w:rsidRDefault="00833234" w:rsidP="00833234">
            <w:pPr>
              <w:jc w:val="right"/>
              <w:rPr>
                <w:rFonts w:ascii="Times New Roman" w:hAnsi="Times New Roman"/>
                <w:b w:val="0"/>
                <w:bCs w:val="0"/>
                <w:sz w:val="24"/>
                <w:szCs w:val="24"/>
                <w:highlight w:val="yellow"/>
              </w:rPr>
            </w:pPr>
            <w:r w:rsidRPr="007C154F">
              <w:rPr>
                <w:rFonts w:ascii="Times New Roman" w:hAnsi="Times New Roman"/>
                <w:b w:val="0"/>
                <w:bCs w:val="0"/>
                <w:color w:val="000000" w:themeColor="dark1"/>
                <w:kern w:val="24"/>
                <w:sz w:val="24"/>
                <w:szCs w:val="24"/>
              </w:rPr>
              <w:t>Verification to administration, minutes, median (IQR)</w:t>
            </w:r>
          </w:p>
        </w:tc>
        <w:tc>
          <w:tcPr>
            <w:tcW w:w="1099" w:type="pct"/>
            <w:hideMark/>
          </w:tcPr>
          <w:p w14:paraId="4D2D1A1E" w14:textId="29BC9D01" w:rsidR="00833234" w:rsidRPr="007C154F" w:rsidRDefault="00833234" w:rsidP="008332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highlight w:val="yellow"/>
              </w:rPr>
            </w:pPr>
            <w:r w:rsidRPr="007C154F">
              <w:rPr>
                <w:rFonts w:ascii="Times New Roman" w:hAnsi="Times New Roman"/>
                <w:color w:val="000000" w:themeColor="dark1"/>
                <w:kern w:val="24"/>
                <w:sz w:val="24"/>
                <w:szCs w:val="24"/>
              </w:rPr>
              <w:t>36.0 (20-45)</w:t>
            </w:r>
          </w:p>
        </w:tc>
        <w:tc>
          <w:tcPr>
            <w:tcW w:w="1099" w:type="pct"/>
            <w:hideMark/>
          </w:tcPr>
          <w:p w14:paraId="564FC4AB" w14:textId="000558A9" w:rsidR="00833234" w:rsidRPr="007C154F" w:rsidRDefault="00833234" w:rsidP="008332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highlight w:val="yellow"/>
              </w:rPr>
            </w:pPr>
            <w:r w:rsidRPr="007C154F">
              <w:rPr>
                <w:rFonts w:ascii="Times New Roman" w:hAnsi="Times New Roman"/>
                <w:color w:val="000000" w:themeColor="dark1"/>
                <w:kern w:val="24"/>
                <w:sz w:val="24"/>
                <w:szCs w:val="24"/>
              </w:rPr>
              <w:t>36.0 (17.6-63.9)</w:t>
            </w:r>
          </w:p>
        </w:tc>
        <w:tc>
          <w:tcPr>
            <w:tcW w:w="1099" w:type="pct"/>
            <w:hideMark/>
          </w:tcPr>
          <w:p w14:paraId="4D38B0CF" w14:textId="399C933D" w:rsidR="00833234" w:rsidRPr="007C154F" w:rsidRDefault="00833234" w:rsidP="008332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highlight w:val="yellow"/>
              </w:rPr>
            </w:pPr>
            <w:r w:rsidRPr="007C154F">
              <w:rPr>
                <w:rFonts w:ascii="Times New Roman" w:hAnsi="Times New Roman"/>
                <w:color w:val="000000" w:themeColor="dark1"/>
                <w:kern w:val="24"/>
                <w:sz w:val="24"/>
                <w:szCs w:val="24"/>
              </w:rPr>
              <w:t>0.96</w:t>
            </w:r>
          </w:p>
        </w:tc>
      </w:tr>
    </w:tbl>
    <w:p w14:paraId="252C8374" w14:textId="4824DB51" w:rsidR="00BC36A8" w:rsidRPr="007C154F" w:rsidRDefault="00BC36A8" w:rsidP="00BC36A8">
      <w:pPr>
        <w:spacing w:after="0"/>
        <w:jc w:val="both"/>
        <w:rPr>
          <w:rFonts w:ascii="Times New Roman" w:hAnsi="Times New Roman"/>
          <w:i/>
          <w:iCs/>
          <w:sz w:val="24"/>
          <w:szCs w:val="24"/>
        </w:rPr>
      </w:pPr>
      <w:r w:rsidRPr="007C154F">
        <w:rPr>
          <w:rFonts w:ascii="Times New Roman" w:hAnsi="Times New Roman"/>
          <w:i/>
          <w:iCs/>
          <w:sz w:val="24"/>
          <w:szCs w:val="24"/>
        </w:rPr>
        <w:t>IQR: interquartile range</w:t>
      </w:r>
    </w:p>
    <w:p w14:paraId="690C30D7" w14:textId="77777777" w:rsidR="004829ED" w:rsidRPr="007C154F" w:rsidRDefault="004829ED" w:rsidP="00BC36A8">
      <w:pPr>
        <w:spacing w:after="0"/>
        <w:jc w:val="both"/>
        <w:rPr>
          <w:rFonts w:ascii="Times New Roman" w:hAnsi="Times New Roman"/>
          <w:i/>
          <w:iCs/>
          <w:sz w:val="24"/>
          <w:szCs w:val="24"/>
          <w:highlight w:val="yellow"/>
        </w:rPr>
      </w:pPr>
    </w:p>
    <w:p w14:paraId="0769EEAE" w14:textId="77777777" w:rsidR="004829ED" w:rsidRPr="007C154F" w:rsidRDefault="004829ED" w:rsidP="005B592F">
      <w:pPr>
        <w:spacing w:after="0"/>
        <w:ind w:firstLine="230"/>
        <w:jc w:val="both"/>
        <w:rPr>
          <w:rFonts w:ascii="Times New Roman" w:hAnsi="Times New Roman"/>
          <w:i/>
          <w:iCs/>
          <w:sz w:val="24"/>
          <w:szCs w:val="24"/>
          <w:highlight w:val="yellow"/>
        </w:rPr>
      </w:pPr>
    </w:p>
    <w:p w14:paraId="54F82181" w14:textId="32D0A8E9" w:rsidR="004829ED" w:rsidRPr="007C154F" w:rsidRDefault="004829ED" w:rsidP="004829ED">
      <w:pPr>
        <w:spacing w:after="0"/>
        <w:rPr>
          <w:rFonts w:ascii="Times New Roman" w:hAnsi="Times New Roman"/>
          <w:sz w:val="24"/>
          <w:szCs w:val="24"/>
        </w:rPr>
      </w:pPr>
      <w:r w:rsidRPr="007C154F">
        <w:rPr>
          <w:rFonts w:ascii="Times New Roman" w:hAnsi="Times New Roman"/>
          <w:sz w:val="24"/>
          <w:szCs w:val="24"/>
        </w:rPr>
        <w:lastRenderedPageBreak/>
        <w:t>Table 3: Secondary Outcomes</w:t>
      </w:r>
    </w:p>
    <w:tbl>
      <w:tblPr>
        <w:tblStyle w:val="GridTable4"/>
        <w:tblW w:w="5000" w:type="pct"/>
        <w:tblLook w:val="04A0" w:firstRow="1" w:lastRow="0" w:firstColumn="1" w:lastColumn="0" w:noHBand="0" w:noVBand="1"/>
      </w:tblPr>
      <w:tblGrid>
        <w:gridCol w:w="3364"/>
        <w:gridCol w:w="2172"/>
        <w:gridCol w:w="2172"/>
        <w:gridCol w:w="2172"/>
      </w:tblGrid>
      <w:tr w:rsidR="004829ED" w:rsidRPr="007C154F" w14:paraId="5DDB1FAA" w14:textId="77777777" w:rsidTr="00776338">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02" w:type="pct"/>
            <w:hideMark/>
          </w:tcPr>
          <w:p w14:paraId="4E2A34D8" w14:textId="77777777" w:rsidR="004829ED" w:rsidRPr="007C154F" w:rsidRDefault="004829ED" w:rsidP="00262CE9">
            <w:pPr>
              <w:rPr>
                <w:rFonts w:ascii="Times New Roman" w:hAnsi="Times New Roman"/>
                <w:sz w:val="24"/>
                <w:szCs w:val="24"/>
                <w:highlight w:val="yellow"/>
              </w:rPr>
            </w:pPr>
            <w:r w:rsidRPr="007C154F">
              <w:rPr>
                <w:rFonts w:ascii="Times New Roman" w:hAnsi="Times New Roman"/>
                <w:color w:val="FFFFFF" w:themeColor="light1"/>
                <w:kern w:val="24"/>
                <w:sz w:val="24"/>
                <w:szCs w:val="24"/>
              </w:rPr>
              <w:t>Outcome</w:t>
            </w:r>
          </w:p>
        </w:tc>
        <w:tc>
          <w:tcPr>
            <w:tcW w:w="1099" w:type="pct"/>
            <w:hideMark/>
          </w:tcPr>
          <w:p w14:paraId="443A1A49" w14:textId="77777777" w:rsidR="004829ED" w:rsidRPr="007C154F" w:rsidRDefault="004829ED" w:rsidP="00262CE9">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pPr>
            <w:r w:rsidRPr="007C154F">
              <w:rPr>
                <w:kern w:val="24"/>
              </w:rPr>
              <w:t>Pre-Implementation</w:t>
            </w:r>
          </w:p>
          <w:p w14:paraId="040F37DE" w14:textId="77777777" w:rsidR="004829ED" w:rsidRPr="007C154F" w:rsidRDefault="004829ED" w:rsidP="00262CE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highlight w:val="yellow"/>
              </w:rPr>
            </w:pPr>
            <w:r w:rsidRPr="007C154F">
              <w:rPr>
                <w:rFonts w:ascii="Times New Roman" w:hAnsi="Times New Roman"/>
                <w:kern w:val="24"/>
                <w:sz w:val="24"/>
                <w:szCs w:val="24"/>
              </w:rPr>
              <w:t>n = 52</w:t>
            </w:r>
          </w:p>
        </w:tc>
        <w:tc>
          <w:tcPr>
            <w:tcW w:w="1099" w:type="pct"/>
            <w:hideMark/>
          </w:tcPr>
          <w:p w14:paraId="56DEEEDA" w14:textId="77777777" w:rsidR="004829ED" w:rsidRPr="007C154F" w:rsidRDefault="004829ED" w:rsidP="00262CE9">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pPr>
            <w:r w:rsidRPr="007C154F">
              <w:rPr>
                <w:kern w:val="24"/>
              </w:rPr>
              <w:t>Post-Implementation</w:t>
            </w:r>
          </w:p>
          <w:p w14:paraId="417E0BAB" w14:textId="77777777" w:rsidR="004829ED" w:rsidRPr="007C154F" w:rsidRDefault="004829ED" w:rsidP="00262CE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highlight w:val="yellow"/>
              </w:rPr>
            </w:pPr>
            <w:r w:rsidRPr="007C154F">
              <w:rPr>
                <w:rFonts w:ascii="Times New Roman" w:hAnsi="Times New Roman"/>
                <w:kern w:val="24"/>
                <w:sz w:val="24"/>
                <w:szCs w:val="24"/>
              </w:rPr>
              <w:t>n = 105</w:t>
            </w:r>
          </w:p>
        </w:tc>
        <w:tc>
          <w:tcPr>
            <w:tcW w:w="1099" w:type="pct"/>
            <w:hideMark/>
          </w:tcPr>
          <w:p w14:paraId="1B927D3C" w14:textId="77777777" w:rsidR="004829ED" w:rsidRPr="007C154F" w:rsidRDefault="004829ED" w:rsidP="00262CE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highlight w:val="yellow"/>
              </w:rPr>
            </w:pPr>
            <w:r w:rsidRPr="007C154F">
              <w:rPr>
                <w:rFonts w:ascii="Times New Roman" w:hAnsi="Times New Roman"/>
                <w:color w:val="FFFFFF" w:themeColor="light1"/>
                <w:kern w:val="24"/>
                <w:sz w:val="24"/>
                <w:szCs w:val="24"/>
              </w:rPr>
              <w:t>P-value</w:t>
            </w:r>
          </w:p>
        </w:tc>
      </w:tr>
      <w:tr w:rsidR="004829ED" w:rsidRPr="007C154F" w14:paraId="49D699DA" w14:textId="77777777" w:rsidTr="00776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pct"/>
          </w:tcPr>
          <w:p w14:paraId="06D0D2D9" w14:textId="77777777" w:rsidR="004829ED" w:rsidRPr="007C154F" w:rsidRDefault="004829ED" w:rsidP="00262CE9">
            <w:pPr>
              <w:rPr>
                <w:rFonts w:ascii="Times New Roman" w:hAnsi="Times New Roman"/>
                <w:color w:val="000000" w:themeColor="dark1"/>
                <w:kern w:val="24"/>
                <w:sz w:val="24"/>
                <w:szCs w:val="24"/>
              </w:rPr>
            </w:pPr>
            <w:r w:rsidRPr="007C154F">
              <w:rPr>
                <w:rFonts w:ascii="Times New Roman" w:hAnsi="Times New Roman"/>
                <w:color w:val="000000" w:themeColor="dark1"/>
                <w:kern w:val="24"/>
                <w:sz w:val="24"/>
                <w:szCs w:val="24"/>
              </w:rPr>
              <w:t>Adverse events</w:t>
            </w:r>
          </w:p>
        </w:tc>
        <w:tc>
          <w:tcPr>
            <w:tcW w:w="1099" w:type="pct"/>
          </w:tcPr>
          <w:p w14:paraId="14357A71" w14:textId="77777777" w:rsidR="004829ED" w:rsidRPr="007C154F" w:rsidRDefault="004829ED" w:rsidP="00262C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dark1"/>
                <w:kern w:val="24"/>
                <w:sz w:val="24"/>
                <w:szCs w:val="24"/>
              </w:rPr>
            </w:pPr>
            <w:r w:rsidRPr="007C154F">
              <w:rPr>
                <w:rFonts w:ascii="Times New Roman" w:hAnsi="Times New Roman"/>
                <w:color w:val="000000" w:themeColor="dark1"/>
                <w:kern w:val="24"/>
                <w:sz w:val="24"/>
                <w:szCs w:val="24"/>
              </w:rPr>
              <w:t>0</w:t>
            </w:r>
          </w:p>
        </w:tc>
        <w:tc>
          <w:tcPr>
            <w:tcW w:w="1099" w:type="pct"/>
          </w:tcPr>
          <w:p w14:paraId="62A70FF3" w14:textId="77777777" w:rsidR="004829ED" w:rsidRPr="007C154F" w:rsidRDefault="004829ED" w:rsidP="00262C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dark1"/>
                <w:kern w:val="24"/>
                <w:sz w:val="24"/>
                <w:szCs w:val="24"/>
              </w:rPr>
            </w:pPr>
            <w:r w:rsidRPr="007C154F">
              <w:rPr>
                <w:rFonts w:ascii="Times New Roman" w:hAnsi="Times New Roman"/>
                <w:color w:val="000000" w:themeColor="dark1"/>
                <w:kern w:val="24"/>
                <w:sz w:val="24"/>
                <w:szCs w:val="24"/>
              </w:rPr>
              <w:t>3</w:t>
            </w:r>
          </w:p>
        </w:tc>
        <w:tc>
          <w:tcPr>
            <w:tcW w:w="1099" w:type="pct"/>
          </w:tcPr>
          <w:p w14:paraId="3E1BC162" w14:textId="77777777" w:rsidR="004829ED" w:rsidRPr="007C154F" w:rsidRDefault="004829ED" w:rsidP="00262C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dark1"/>
                <w:kern w:val="24"/>
                <w:sz w:val="24"/>
                <w:szCs w:val="24"/>
              </w:rPr>
            </w:pPr>
            <w:r w:rsidRPr="007C154F">
              <w:rPr>
                <w:rFonts w:ascii="Times New Roman" w:hAnsi="Times New Roman"/>
                <w:color w:val="000000" w:themeColor="dark1"/>
                <w:kern w:val="24"/>
                <w:sz w:val="24"/>
                <w:szCs w:val="24"/>
              </w:rPr>
              <w:t>-</w:t>
            </w:r>
          </w:p>
        </w:tc>
      </w:tr>
      <w:tr w:rsidR="004829ED" w:rsidRPr="007C154F" w14:paraId="2A011F56" w14:textId="77777777" w:rsidTr="00776338">
        <w:tc>
          <w:tcPr>
            <w:cnfStyle w:val="001000000000" w:firstRow="0" w:lastRow="0" w:firstColumn="1" w:lastColumn="0" w:oddVBand="0" w:evenVBand="0" w:oddHBand="0" w:evenHBand="0" w:firstRowFirstColumn="0" w:firstRowLastColumn="0" w:lastRowFirstColumn="0" w:lastRowLastColumn="0"/>
            <w:tcW w:w="1702" w:type="pct"/>
          </w:tcPr>
          <w:p w14:paraId="48D92473" w14:textId="77777777" w:rsidR="004829ED" w:rsidRPr="007C154F" w:rsidRDefault="004829ED" w:rsidP="00262CE9">
            <w:pPr>
              <w:jc w:val="right"/>
              <w:rPr>
                <w:rFonts w:ascii="Times New Roman" w:hAnsi="Times New Roman"/>
                <w:b w:val="0"/>
                <w:bCs w:val="0"/>
                <w:color w:val="000000" w:themeColor="dark1"/>
                <w:kern w:val="24"/>
                <w:sz w:val="24"/>
                <w:szCs w:val="24"/>
              </w:rPr>
            </w:pPr>
            <w:r w:rsidRPr="007C154F">
              <w:rPr>
                <w:rFonts w:ascii="Times New Roman" w:hAnsi="Times New Roman"/>
                <w:b w:val="0"/>
                <w:bCs w:val="0"/>
                <w:color w:val="000000" w:themeColor="dark1"/>
                <w:kern w:val="24"/>
                <w:sz w:val="24"/>
                <w:szCs w:val="24"/>
              </w:rPr>
              <w:t>Anaphylaxis</w:t>
            </w:r>
          </w:p>
        </w:tc>
        <w:tc>
          <w:tcPr>
            <w:tcW w:w="1099" w:type="pct"/>
          </w:tcPr>
          <w:p w14:paraId="4D582AF7" w14:textId="77777777" w:rsidR="004829ED" w:rsidRPr="007C154F" w:rsidRDefault="004829ED" w:rsidP="00262C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dark1"/>
                <w:kern w:val="24"/>
                <w:sz w:val="24"/>
                <w:szCs w:val="24"/>
              </w:rPr>
            </w:pPr>
            <w:r w:rsidRPr="007C154F">
              <w:rPr>
                <w:rFonts w:ascii="Times New Roman" w:hAnsi="Times New Roman"/>
                <w:color w:val="000000" w:themeColor="dark1"/>
                <w:kern w:val="24"/>
                <w:sz w:val="24"/>
                <w:szCs w:val="24"/>
              </w:rPr>
              <w:t>0</w:t>
            </w:r>
          </w:p>
        </w:tc>
        <w:tc>
          <w:tcPr>
            <w:tcW w:w="1099" w:type="pct"/>
          </w:tcPr>
          <w:p w14:paraId="4A7521BE" w14:textId="77777777" w:rsidR="004829ED" w:rsidRPr="007C154F" w:rsidRDefault="004829ED" w:rsidP="00262C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dark1"/>
                <w:kern w:val="24"/>
                <w:sz w:val="24"/>
                <w:szCs w:val="24"/>
              </w:rPr>
            </w:pPr>
            <w:r w:rsidRPr="007C154F">
              <w:rPr>
                <w:rFonts w:ascii="Times New Roman" w:hAnsi="Times New Roman"/>
                <w:color w:val="000000" w:themeColor="dark1"/>
                <w:kern w:val="24"/>
                <w:sz w:val="24"/>
                <w:szCs w:val="24"/>
              </w:rPr>
              <w:t>1</w:t>
            </w:r>
          </w:p>
        </w:tc>
        <w:tc>
          <w:tcPr>
            <w:tcW w:w="1099" w:type="pct"/>
          </w:tcPr>
          <w:p w14:paraId="0A9C51F7" w14:textId="77777777" w:rsidR="004829ED" w:rsidRPr="007C154F" w:rsidRDefault="004829ED" w:rsidP="00262C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dark1"/>
                <w:kern w:val="24"/>
                <w:sz w:val="24"/>
                <w:szCs w:val="24"/>
              </w:rPr>
            </w:pPr>
            <w:r w:rsidRPr="007C154F">
              <w:rPr>
                <w:rFonts w:ascii="Times New Roman" w:hAnsi="Times New Roman"/>
                <w:color w:val="000000" w:themeColor="dark1"/>
                <w:kern w:val="24"/>
                <w:sz w:val="24"/>
                <w:szCs w:val="24"/>
              </w:rPr>
              <w:t>-</w:t>
            </w:r>
          </w:p>
        </w:tc>
      </w:tr>
      <w:tr w:rsidR="004829ED" w:rsidRPr="007C154F" w14:paraId="46106927" w14:textId="77777777" w:rsidTr="00776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pct"/>
          </w:tcPr>
          <w:p w14:paraId="081BFF56" w14:textId="77777777" w:rsidR="004829ED" w:rsidRPr="007C154F" w:rsidRDefault="004829ED" w:rsidP="00262CE9">
            <w:pPr>
              <w:jc w:val="right"/>
              <w:rPr>
                <w:rFonts w:ascii="Times New Roman" w:hAnsi="Times New Roman"/>
                <w:b w:val="0"/>
                <w:bCs w:val="0"/>
                <w:color w:val="000000" w:themeColor="dark1"/>
                <w:kern w:val="24"/>
                <w:sz w:val="24"/>
                <w:szCs w:val="24"/>
              </w:rPr>
            </w:pPr>
            <w:r w:rsidRPr="007C154F">
              <w:rPr>
                <w:rFonts w:ascii="Times New Roman" w:hAnsi="Times New Roman"/>
                <w:b w:val="0"/>
                <w:bCs w:val="0"/>
                <w:color w:val="000000" w:themeColor="dark1"/>
                <w:kern w:val="24"/>
                <w:sz w:val="24"/>
                <w:szCs w:val="24"/>
              </w:rPr>
              <w:t>Administration error</w:t>
            </w:r>
          </w:p>
        </w:tc>
        <w:tc>
          <w:tcPr>
            <w:tcW w:w="1099" w:type="pct"/>
          </w:tcPr>
          <w:p w14:paraId="351F3898" w14:textId="77777777" w:rsidR="004829ED" w:rsidRPr="007C154F" w:rsidRDefault="004829ED" w:rsidP="00262C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dark1"/>
                <w:kern w:val="24"/>
                <w:sz w:val="24"/>
                <w:szCs w:val="24"/>
              </w:rPr>
            </w:pPr>
            <w:r w:rsidRPr="007C154F">
              <w:rPr>
                <w:rFonts w:ascii="Times New Roman" w:hAnsi="Times New Roman"/>
                <w:color w:val="000000" w:themeColor="dark1"/>
                <w:kern w:val="24"/>
                <w:sz w:val="24"/>
                <w:szCs w:val="24"/>
              </w:rPr>
              <w:t>0</w:t>
            </w:r>
          </w:p>
        </w:tc>
        <w:tc>
          <w:tcPr>
            <w:tcW w:w="1099" w:type="pct"/>
          </w:tcPr>
          <w:p w14:paraId="09CAFB76" w14:textId="77777777" w:rsidR="004829ED" w:rsidRPr="007C154F" w:rsidRDefault="004829ED" w:rsidP="00262C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dark1"/>
                <w:kern w:val="24"/>
                <w:sz w:val="24"/>
                <w:szCs w:val="24"/>
              </w:rPr>
            </w:pPr>
            <w:r w:rsidRPr="007C154F">
              <w:rPr>
                <w:rFonts w:ascii="Times New Roman" w:hAnsi="Times New Roman"/>
                <w:color w:val="000000" w:themeColor="dark1"/>
                <w:kern w:val="24"/>
                <w:sz w:val="24"/>
                <w:szCs w:val="24"/>
              </w:rPr>
              <w:t>1</w:t>
            </w:r>
          </w:p>
        </w:tc>
        <w:tc>
          <w:tcPr>
            <w:tcW w:w="1099" w:type="pct"/>
          </w:tcPr>
          <w:p w14:paraId="4B1D81FB" w14:textId="77777777" w:rsidR="004829ED" w:rsidRPr="007C154F" w:rsidRDefault="004829ED" w:rsidP="00262C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dark1"/>
                <w:kern w:val="24"/>
                <w:sz w:val="24"/>
                <w:szCs w:val="24"/>
              </w:rPr>
            </w:pPr>
            <w:r w:rsidRPr="007C154F">
              <w:rPr>
                <w:rFonts w:ascii="Times New Roman" w:hAnsi="Times New Roman"/>
                <w:color w:val="000000" w:themeColor="dark1"/>
                <w:kern w:val="24"/>
                <w:sz w:val="24"/>
                <w:szCs w:val="24"/>
              </w:rPr>
              <w:t>-</w:t>
            </w:r>
          </w:p>
        </w:tc>
      </w:tr>
      <w:tr w:rsidR="004829ED" w:rsidRPr="007C154F" w14:paraId="092E4412" w14:textId="77777777" w:rsidTr="00776338">
        <w:tc>
          <w:tcPr>
            <w:cnfStyle w:val="001000000000" w:firstRow="0" w:lastRow="0" w:firstColumn="1" w:lastColumn="0" w:oddVBand="0" w:evenVBand="0" w:oddHBand="0" w:evenHBand="0" w:firstRowFirstColumn="0" w:firstRowLastColumn="0" w:lastRowFirstColumn="0" w:lastRowLastColumn="0"/>
            <w:tcW w:w="1702" w:type="pct"/>
          </w:tcPr>
          <w:p w14:paraId="7E9ED761" w14:textId="77777777" w:rsidR="004829ED" w:rsidRPr="007C154F" w:rsidRDefault="004829ED" w:rsidP="00262CE9">
            <w:pPr>
              <w:jc w:val="right"/>
              <w:rPr>
                <w:rFonts w:ascii="Times New Roman" w:hAnsi="Times New Roman"/>
                <w:b w:val="0"/>
                <w:bCs w:val="0"/>
                <w:color w:val="000000" w:themeColor="dark1"/>
                <w:kern w:val="24"/>
                <w:sz w:val="24"/>
                <w:szCs w:val="24"/>
              </w:rPr>
            </w:pPr>
            <w:r w:rsidRPr="007C154F">
              <w:rPr>
                <w:rFonts w:ascii="Times New Roman" w:hAnsi="Times New Roman"/>
                <w:b w:val="0"/>
                <w:bCs w:val="0"/>
                <w:color w:val="000000" w:themeColor="dark1"/>
                <w:kern w:val="24"/>
                <w:sz w:val="24"/>
                <w:szCs w:val="24"/>
              </w:rPr>
              <w:t>Dosing error unrelated to dose rounding</w:t>
            </w:r>
          </w:p>
        </w:tc>
        <w:tc>
          <w:tcPr>
            <w:tcW w:w="1099" w:type="pct"/>
          </w:tcPr>
          <w:p w14:paraId="2EB998C1" w14:textId="77777777" w:rsidR="004829ED" w:rsidRPr="007C154F" w:rsidRDefault="004829ED" w:rsidP="00262C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dark1"/>
                <w:kern w:val="24"/>
                <w:sz w:val="24"/>
                <w:szCs w:val="24"/>
              </w:rPr>
            </w:pPr>
            <w:r w:rsidRPr="007C154F">
              <w:rPr>
                <w:rFonts w:ascii="Times New Roman" w:hAnsi="Times New Roman"/>
                <w:color w:val="000000" w:themeColor="dark1"/>
                <w:kern w:val="24"/>
                <w:sz w:val="24"/>
                <w:szCs w:val="24"/>
              </w:rPr>
              <w:t>0</w:t>
            </w:r>
          </w:p>
        </w:tc>
        <w:tc>
          <w:tcPr>
            <w:tcW w:w="1099" w:type="pct"/>
          </w:tcPr>
          <w:p w14:paraId="2125E8F9" w14:textId="77777777" w:rsidR="004829ED" w:rsidRPr="007C154F" w:rsidRDefault="004829ED" w:rsidP="00262C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dark1"/>
                <w:kern w:val="24"/>
                <w:sz w:val="24"/>
                <w:szCs w:val="24"/>
              </w:rPr>
            </w:pPr>
            <w:r w:rsidRPr="007C154F">
              <w:rPr>
                <w:rFonts w:ascii="Times New Roman" w:hAnsi="Times New Roman"/>
                <w:color w:val="000000" w:themeColor="dark1"/>
                <w:kern w:val="24"/>
                <w:sz w:val="24"/>
                <w:szCs w:val="24"/>
              </w:rPr>
              <w:t>1</w:t>
            </w:r>
          </w:p>
        </w:tc>
        <w:tc>
          <w:tcPr>
            <w:tcW w:w="1099" w:type="pct"/>
          </w:tcPr>
          <w:p w14:paraId="46676F86" w14:textId="77777777" w:rsidR="004829ED" w:rsidRPr="007C154F" w:rsidRDefault="004829ED" w:rsidP="00262C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dark1"/>
                <w:kern w:val="24"/>
                <w:sz w:val="24"/>
                <w:szCs w:val="24"/>
              </w:rPr>
            </w:pPr>
            <w:r w:rsidRPr="007C154F">
              <w:rPr>
                <w:rFonts w:ascii="Times New Roman" w:hAnsi="Times New Roman"/>
                <w:color w:val="000000" w:themeColor="dark1"/>
                <w:kern w:val="24"/>
                <w:sz w:val="24"/>
                <w:szCs w:val="24"/>
              </w:rPr>
              <w:t>-</w:t>
            </w:r>
          </w:p>
        </w:tc>
      </w:tr>
      <w:tr w:rsidR="004829ED" w:rsidRPr="007C154F" w14:paraId="40472BF4" w14:textId="77777777" w:rsidTr="00776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pct"/>
          </w:tcPr>
          <w:p w14:paraId="4EF61897" w14:textId="77777777" w:rsidR="004829ED" w:rsidRPr="007C154F" w:rsidRDefault="004829ED" w:rsidP="00262CE9">
            <w:pPr>
              <w:rPr>
                <w:rFonts w:ascii="Times New Roman" w:hAnsi="Times New Roman"/>
                <w:color w:val="000000" w:themeColor="dark1"/>
                <w:kern w:val="24"/>
                <w:sz w:val="24"/>
                <w:szCs w:val="24"/>
              </w:rPr>
            </w:pPr>
            <w:r w:rsidRPr="007C154F">
              <w:rPr>
                <w:rFonts w:ascii="Times New Roman" w:hAnsi="Times New Roman"/>
                <w:color w:val="000000" w:themeColor="dark1"/>
                <w:kern w:val="24"/>
                <w:sz w:val="24"/>
                <w:szCs w:val="24"/>
              </w:rPr>
              <w:t>Doses prepared in pharmacy IV room (%)</w:t>
            </w:r>
          </w:p>
        </w:tc>
        <w:tc>
          <w:tcPr>
            <w:tcW w:w="1099" w:type="pct"/>
          </w:tcPr>
          <w:p w14:paraId="521A3F95" w14:textId="77777777" w:rsidR="004829ED" w:rsidRPr="007C154F" w:rsidRDefault="004829ED" w:rsidP="00262C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dark1"/>
                <w:kern w:val="24"/>
                <w:sz w:val="24"/>
                <w:szCs w:val="24"/>
              </w:rPr>
            </w:pPr>
            <w:r w:rsidRPr="007C154F">
              <w:rPr>
                <w:rFonts w:ascii="Times New Roman" w:hAnsi="Times New Roman"/>
                <w:color w:val="000000" w:themeColor="dark1"/>
                <w:kern w:val="24"/>
                <w:sz w:val="24"/>
                <w:szCs w:val="24"/>
              </w:rPr>
              <w:t>40.4</w:t>
            </w:r>
          </w:p>
        </w:tc>
        <w:tc>
          <w:tcPr>
            <w:tcW w:w="1099" w:type="pct"/>
          </w:tcPr>
          <w:p w14:paraId="54061217" w14:textId="77777777" w:rsidR="004829ED" w:rsidRPr="007C154F" w:rsidRDefault="004829ED" w:rsidP="00262C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dark1"/>
                <w:kern w:val="24"/>
                <w:sz w:val="24"/>
                <w:szCs w:val="24"/>
              </w:rPr>
            </w:pPr>
            <w:r w:rsidRPr="007C154F">
              <w:rPr>
                <w:rFonts w:ascii="Times New Roman" w:hAnsi="Times New Roman"/>
                <w:color w:val="000000" w:themeColor="dark1"/>
                <w:kern w:val="24"/>
                <w:sz w:val="24"/>
                <w:szCs w:val="24"/>
              </w:rPr>
              <w:t>10.5</w:t>
            </w:r>
          </w:p>
        </w:tc>
        <w:tc>
          <w:tcPr>
            <w:tcW w:w="1099" w:type="pct"/>
          </w:tcPr>
          <w:p w14:paraId="07F0E9D4" w14:textId="77777777" w:rsidR="004829ED" w:rsidRPr="007C154F" w:rsidRDefault="004829ED" w:rsidP="00262C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dark1"/>
                <w:kern w:val="24"/>
                <w:sz w:val="24"/>
                <w:szCs w:val="24"/>
              </w:rPr>
            </w:pPr>
            <w:r w:rsidRPr="007C154F">
              <w:rPr>
                <w:rFonts w:ascii="Times New Roman" w:hAnsi="Times New Roman"/>
                <w:color w:val="000000" w:themeColor="dark1"/>
                <w:kern w:val="24"/>
                <w:sz w:val="24"/>
                <w:szCs w:val="24"/>
              </w:rPr>
              <w:t>&lt; 0.0001</w:t>
            </w:r>
          </w:p>
        </w:tc>
      </w:tr>
      <w:tr w:rsidR="004829ED" w:rsidRPr="007C154F" w14:paraId="37973B99" w14:textId="77777777" w:rsidTr="00776338">
        <w:tc>
          <w:tcPr>
            <w:cnfStyle w:val="001000000000" w:firstRow="0" w:lastRow="0" w:firstColumn="1" w:lastColumn="0" w:oddVBand="0" w:evenVBand="0" w:oddHBand="0" w:evenHBand="0" w:firstRowFirstColumn="0" w:firstRowLastColumn="0" w:lastRowFirstColumn="0" w:lastRowLastColumn="0"/>
            <w:tcW w:w="1702" w:type="pct"/>
          </w:tcPr>
          <w:p w14:paraId="056E037D" w14:textId="77777777" w:rsidR="004829ED" w:rsidRPr="007C154F" w:rsidRDefault="004829ED" w:rsidP="00262CE9">
            <w:pPr>
              <w:rPr>
                <w:rFonts w:ascii="Times New Roman" w:hAnsi="Times New Roman"/>
                <w:color w:val="000000" w:themeColor="dark1"/>
                <w:kern w:val="24"/>
                <w:sz w:val="24"/>
                <w:szCs w:val="24"/>
              </w:rPr>
            </w:pPr>
            <w:r w:rsidRPr="007C154F">
              <w:rPr>
                <w:rFonts w:ascii="Times New Roman" w:hAnsi="Times New Roman"/>
                <w:color w:val="000000" w:themeColor="dark1"/>
                <w:kern w:val="24"/>
                <w:sz w:val="24"/>
                <w:szCs w:val="24"/>
              </w:rPr>
              <w:t>In-hospital mortality</w:t>
            </w:r>
          </w:p>
        </w:tc>
        <w:tc>
          <w:tcPr>
            <w:tcW w:w="1099" w:type="pct"/>
          </w:tcPr>
          <w:p w14:paraId="68888FB3" w14:textId="77777777" w:rsidR="004829ED" w:rsidRPr="007C154F" w:rsidRDefault="004829ED" w:rsidP="00262C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dark1"/>
                <w:kern w:val="24"/>
                <w:sz w:val="24"/>
                <w:szCs w:val="24"/>
              </w:rPr>
            </w:pPr>
            <w:r w:rsidRPr="007C154F">
              <w:rPr>
                <w:rFonts w:ascii="Times New Roman" w:hAnsi="Times New Roman"/>
                <w:color w:val="000000" w:themeColor="dark1"/>
                <w:kern w:val="24"/>
                <w:sz w:val="24"/>
                <w:szCs w:val="24"/>
              </w:rPr>
              <w:t>0</w:t>
            </w:r>
          </w:p>
        </w:tc>
        <w:tc>
          <w:tcPr>
            <w:tcW w:w="1099" w:type="pct"/>
          </w:tcPr>
          <w:p w14:paraId="59FDB632" w14:textId="77777777" w:rsidR="004829ED" w:rsidRPr="007C154F" w:rsidRDefault="004829ED" w:rsidP="00262C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dark1"/>
                <w:kern w:val="24"/>
                <w:sz w:val="24"/>
                <w:szCs w:val="24"/>
              </w:rPr>
            </w:pPr>
            <w:r w:rsidRPr="007C154F">
              <w:rPr>
                <w:rFonts w:ascii="Times New Roman" w:hAnsi="Times New Roman"/>
                <w:color w:val="000000" w:themeColor="dark1"/>
                <w:kern w:val="24"/>
                <w:sz w:val="24"/>
                <w:szCs w:val="24"/>
              </w:rPr>
              <w:t>0</w:t>
            </w:r>
          </w:p>
        </w:tc>
        <w:tc>
          <w:tcPr>
            <w:tcW w:w="1099" w:type="pct"/>
          </w:tcPr>
          <w:p w14:paraId="754372C7" w14:textId="77777777" w:rsidR="004829ED" w:rsidRPr="007C154F" w:rsidRDefault="004829ED" w:rsidP="00262C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dark1"/>
                <w:kern w:val="24"/>
                <w:sz w:val="24"/>
                <w:szCs w:val="24"/>
              </w:rPr>
            </w:pPr>
            <w:r w:rsidRPr="007C154F">
              <w:rPr>
                <w:rFonts w:ascii="Times New Roman" w:hAnsi="Times New Roman"/>
                <w:color w:val="000000" w:themeColor="dark1"/>
                <w:kern w:val="24"/>
                <w:sz w:val="24"/>
                <w:szCs w:val="24"/>
              </w:rPr>
              <w:t>-</w:t>
            </w:r>
          </w:p>
        </w:tc>
      </w:tr>
    </w:tbl>
    <w:p w14:paraId="7A0AE769" w14:textId="48B204C3" w:rsidR="00896B3E" w:rsidRPr="007C154F" w:rsidRDefault="00733A7B" w:rsidP="004B0DD9">
      <w:pPr>
        <w:spacing w:before="200" w:after="120"/>
        <w:rPr>
          <w:rFonts w:ascii="Times New Roman" w:hAnsi="Times New Roman"/>
          <w:b/>
          <w:sz w:val="24"/>
          <w:szCs w:val="24"/>
        </w:rPr>
      </w:pPr>
      <w:r w:rsidRPr="007C154F">
        <w:rPr>
          <w:rFonts w:ascii="Times New Roman" w:hAnsi="Times New Roman"/>
          <w:noProof/>
          <w:sz w:val="24"/>
          <w:szCs w:val="24"/>
        </w:rPr>
        <w:t xml:space="preserve"> </w:t>
      </w:r>
    </w:p>
    <w:p w14:paraId="798B8985" w14:textId="489ACC08" w:rsidR="00A42E3F" w:rsidRPr="007C154F" w:rsidRDefault="00A42E3F" w:rsidP="004B0DD9">
      <w:pPr>
        <w:spacing w:before="200" w:after="120"/>
        <w:rPr>
          <w:rFonts w:ascii="Times New Roman" w:hAnsi="Times New Roman"/>
          <w:b/>
          <w:sz w:val="24"/>
          <w:szCs w:val="24"/>
          <w:highlight w:val="yellow"/>
        </w:rPr>
        <w:sectPr w:rsidR="00A42E3F" w:rsidRPr="007C154F" w:rsidSect="008D2069">
          <w:type w:val="continuous"/>
          <w:pgSz w:w="11906" w:h="16838" w:code="9"/>
          <w:pgMar w:top="1800" w:right="1008" w:bottom="1800" w:left="1008" w:header="720" w:footer="720" w:gutter="0"/>
          <w:cols w:space="227"/>
          <w:docGrid w:linePitch="360"/>
        </w:sectPr>
      </w:pPr>
    </w:p>
    <w:p w14:paraId="7BF7078A" w14:textId="29AD5466" w:rsidR="004B0DD9" w:rsidRPr="007C154F" w:rsidRDefault="00B17F38" w:rsidP="004B0DD9">
      <w:pPr>
        <w:spacing w:before="200" w:after="120"/>
        <w:rPr>
          <w:rFonts w:ascii="Times New Roman" w:hAnsi="Times New Roman"/>
          <w:b/>
          <w:sz w:val="24"/>
          <w:szCs w:val="24"/>
        </w:rPr>
      </w:pPr>
      <w:r w:rsidRPr="007C154F">
        <w:rPr>
          <w:rFonts w:ascii="Times New Roman" w:hAnsi="Times New Roman"/>
          <w:b/>
          <w:sz w:val="24"/>
          <w:szCs w:val="24"/>
        </w:rPr>
        <w:t>4. Discussion</w:t>
      </w:r>
    </w:p>
    <w:p w14:paraId="2F78C5C0" w14:textId="24600781" w:rsidR="00B707BF" w:rsidRPr="007C154F" w:rsidRDefault="00B666F5" w:rsidP="00F90A49">
      <w:pPr>
        <w:pStyle w:val="IOPAbsText"/>
        <w:ind w:right="14" w:firstLine="230"/>
        <w:jc w:val="both"/>
        <w:rPr>
          <w:noProof/>
          <w:sz w:val="24"/>
          <w:szCs w:val="24"/>
        </w:rPr>
      </w:pPr>
      <w:r w:rsidRPr="007C154F">
        <w:rPr>
          <w:noProof/>
          <w:sz w:val="24"/>
          <w:szCs w:val="24"/>
        </w:rPr>
        <w:t xml:space="preserve">After implementation of a pediatric ceftriaxone dose rounding protocol, there was no difference in the time to </w:t>
      </w:r>
      <w:r w:rsidR="00B21C9F" w:rsidRPr="007C154F">
        <w:rPr>
          <w:noProof/>
          <w:sz w:val="24"/>
          <w:szCs w:val="24"/>
        </w:rPr>
        <w:t xml:space="preserve">first </w:t>
      </w:r>
      <w:r w:rsidRPr="007C154F">
        <w:rPr>
          <w:noProof/>
          <w:sz w:val="24"/>
          <w:szCs w:val="24"/>
        </w:rPr>
        <w:t>administration</w:t>
      </w:r>
      <w:r w:rsidR="00776338">
        <w:rPr>
          <w:noProof/>
          <w:sz w:val="24"/>
          <w:szCs w:val="24"/>
        </w:rPr>
        <w:t xml:space="preserve"> (41.5 minutes vs 43 minutes, p-value = 0.48)</w:t>
      </w:r>
      <w:r w:rsidR="00B21C9F" w:rsidRPr="007C154F">
        <w:rPr>
          <w:noProof/>
          <w:sz w:val="24"/>
          <w:szCs w:val="24"/>
        </w:rPr>
        <w:t xml:space="preserve">. There </w:t>
      </w:r>
      <w:r w:rsidR="005A0B0E" w:rsidRPr="007C154F">
        <w:rPr>
          <w:noProof/>
          <w:sz w:val="24"/>
          <w:szCs w:val="24"/>
        </w:rPr>
        <w:t xml:space="preserve">were </w:t>
      </w:r>
      <w:r w:rsidR="00DD2506" w:rsidRPr="007C154F">
        <w:rPr>
          <w:noProof/>
          <w:sz w:val="24"/>
          <w:szCs w:val="24"/>
        </w:rPr>
        <w:t>three</w:t>
      </w:r>
      <w:r w:rsidR="005A0B0E" w:rsidRPr="007C154F">
        <w:rPr>
          <w:noProof/>
          <w:sz w:val="24"/>
          <w:szCs w:val="24"/>
        </w:rPr>
        <w:t xml:space="preserve"> reported events in the </w:t>
      </w:r>
      <w:r w:rsidR="00B7614A">
        <w:rPr>
          <w:noProof/>
          <w:sz w:val="24"/>
          <w:szCs w:val="24"/>
        </w:rPr>
        <w:t>pre</w:t>
      </w:r>
      <w:r w:rsidR="005A0B0E" w:rsidRPr="007C154F">
        <w:rPr>
          <w:noProof/>
          <w:sz w:val="24"/>
          <w:szCs w:val="24"/>
        </w:rPr>
        <w:t>-implementation group</w:t>
      </w:r>
      <w:r w:rsidR="009C44C9" w:rsidRPr="007C154F">
        <w:rPr>
          <w:noProof/>
          <w:sz w:val="24"/>
          <w:szCs w:val="24"/>
        </w:rPr>
        <w:t xml:space="preserve">. The doses prepared by central pharmacy was significantly </w:t>
      </w:r>
      <w:r w:rsidR="00B7614A">
        <w:rPr>
          <w:noProof/>
          <w:sz w:val="24"/>
          <w:szCs w:val="24"/>
        </w:rPr>
        <w:t>decreased</w:t>
      </w:r>
      <w:r w:rsidR="009C44C9" w:rsidRPr="007C154F">
        <w:rPr>
          <w:noProof/>
          <w:sz w:val="24"/>
          <w:szCs w:val="24"/>
        </w:rPr>
        <w:t xml:space="preserve"> after implementation (40.4 vs 10.5%, </w:t>
      </w:r>
      <w:r w:rsidR="008C2045" w:rsidRPr="007C154F">
        <w:rPr>
          <w:noProof/>
          <w:sz w:val="24"/>
          <w:szCs w:val="24"/>
        </w:rPr>
        <w:t>p-value &lt; 0.0001). There were no cases of in-hospital mortality.</w:t>
      </w:r>
    </w:p>
    <w:p w14:paraId="1D933905" w14:textId="1AF8688D" w:rsidR="00496360" w:rsidRPr="007C154F" w:rsidRDefault="00496360" w:rsidP="004C3B4F">
      <w:pPr>
        <w:pStyle w:val="IOPAbsText"/>
        <w:ind w:right="14" w:firstLine="230"/>
        <w:jc w:val="both"/>
        <w:rPr>
          <w:noProof/>
          <w:sz w:val="24"/>
          <w:szCs w:val="24"/>
        </w:rPr>
      </w:pPr>
      <w:r w:rsidRPr="007C154F">
        <w:rPr>
          <w:noProof/>
          <w:sz w:val="24"/>
          <w:szCs w:val="24"/>
        </w:rPr>
        <w:t>A separate 2019 retrospective study investigated the correlation between door-to-antibiotic time and mortality in patients with sepsis in the ED. Door-to-antibiotic administration times were correlated with significantly lower odds of mortality during the hospital visit, at 30 days, and 90 days. Additionally, each hour in delay to antibiotic administration correlated with 10% increased odds of one year mortality.</w:t>
      </w:r>
      <w:r w:rsidR="00EC66DE">
        <w:rPr>
          <w:noProof/>
          <w:sz w:val="24"/>
          <w:szCs w:val="24"/>
          <w:vertAlign w:val="superscript"/>
        </w:rPr>
        <w:t>1</w:t>
      </w:r>
      <w:r w:rsidRPr="007C154F">
        <w:rPr>
          <w:noProof/>
          <w:sz w:val="24"/>
          <w:szCs w:val="24"/>
        </w:rPr>
        <w:t xml:space="preserve"> </w:t>
      </w:r>
      <w:r w:rsidR="00006ED5">
        <w:rPr>
          <w:noProof/>
          <w:sz w:val="24"/>
          <w:szCs w:val="24"/>
        </w:rPr>
        <w:t>There were approximately 2400 more visits in the post-implementation group</w:t>
      </w:r>
      <w:r w:rsidR="00183E20">
        <w:rPr>
          <w:noProof/>
          <w:sz w:val="24"/>
          <w:szCs w:val="24"/>
        </w:rPr>
        <w:t xml:space="preserve"> of this study. </w:t>
      </w:r>
      <w:r w:rsidRPr="007C154F">
        <w:rPr>
          <w:noProof/>
          <w:sz w:val="24"/>
          <w:szCs w:val="24"/>
        </w:rPr>
        <w:t xml:space="preserve">While </w:t>
      </w:r>
      <w:r w:rsidR="00183E20">
        <w:rPr>
          <w:noProof/>
          <w:sz w:val="24"/>
          <w:szCs w:val="24"/>
        </w:rPr>
        <w:t>there was no</w:t>
      </w:r>
      <w:r w:rsidRPr="007C154F">
        <w:rPr>
          <w:noProof/>
          <w:sz w:val="24"/>
          <w:szCs w:val="24"/>
        </w:rPr>
        <w:t xml:space="preserve"> difference in time to administration, during times of normal </w:t>
      </w:r>
      <w:r w:rsidR="00DD2506" w:rsidRPr="007C154F">
        <w:rPr>
          <w:noProof/>
          <w:sz w:val="24"/>
          <w:szCs w:val="24"/>
        </w:rPr>
        <w:t xml:space="preserve">admission </w:t>
      </w:r>
      <w:r w:rsidRPr="007C154F">
        <w:rPr>
          <w:noProof/>
          <w:sz w:val="24"/>
          <w:szCs w:val="24"/>
        </w:rPr>
        <w:t>volume it is anticipated the findings would be corroborated</w:t>
      </w:r>
      <w:r w:rsidR="00B04944">
        <w:rPr>
          <w:noProof/>
          <w:sz w:val="24"/>
          <w:szCs w:val="24"/>
        </w:rPr>
        <w:t>.</w:t>
      </w:r>
    </w:p>
    <w:p w14:paraId="28B1EA60" w14:textId="46CF992D" w:rsidR="004C3B4F" w:rsidRPr="007C154F" w:rsidRDefault="004C3B4F" w:rsidP="004C3B4F">
      <w:pPr>
        <w:pStyle w:val="IOPAbsText"/>
        <w:ind w:right="14" w:firstLine="230"/>
        <w:jc w:val="both"/>
        <w:rPr>
          <w:noProof/>
          <w:sz w:val="24"/>
          <w:szCs w:val="24"/>
        </w:rPr>
      </w:pPr>
      <w:r w:rsidRPr="007C154F">
        <w:rPr>
          <w:noProof/>
          <w:sz w:val="24"/>
          <w:szCs w:val="24"/>
        </w:rPr>
        <w:t>A 2013 retrospective study reviewed the effect of antibiotic dose rounding before and after implementation of a pediatric antibiotic standard dosing table in three healthcare settings (ambulatory care, inpatient, and emergency department). The investigators found dose errors significantly decreased (34.3% to 5.06%) and weight documentation significantly increased (65.8% to 85.7%).</w:t>
      </w:r>
      <w:r w:rsidR="00EC66DE">
        <w:rPr>
          <w:noProof/>
          <w:sz w:val="24"/>
          <w:szCs w:val="24"/>
          <w:vertAlign w:val="superscript"/>
        </w:rPr>
        <w:t>2</w:t>
      </w:r>
      <w:r w:rsidRPr="007C154F">
        <w:rPr>
          <w:noProof/>
          <w:sz w:val="24"/>
          <w:szCs w:val="24"/>
        </w:rPr>
        <w:t xml:space="preserve"> A proposed explanation is the improved ability to identify incorrect doses, as they are more readily recognizable if they deviate from </w:t>
      </w:r>
      <w:r w:rsidR="00F805C8" w:rsidRPr="007C154F">
        <w:rPr>
          <w:noProof/>
          <w:sz w:val="24"/>
          <w:szCs w:val="24"/>
        </w:rPr>
        <w:t>an institutions</w:t>
      </w:r>
      <w:r w:rsidRPr="007C154F">
        <w:rPr>
          <w:noProof/>
          <w:sz w:val="24"/>
          <w:szCs w:val="24"/>
        </w:rPr>
        <w:t xml:space="preserve"> dose rounding</w:t>
      </w:r>
      <w:r w:rsidR="00F805C8" w:rsidRPr="007C154F">
        <w:rPr>
          <w:noProof/>
          <w:sz w:val="24"/>
          <w:szCs w:val="24"/>
        </w:rPr>
        <w:t xml:space="preserve"> protocol</w:t>
      </w:r>
      <w:r w:rsidRPr="007C154F">
        <w:rPr>
          <w:noProof/>
          <w:sz w:val="24"/>
          <w:szCs w:val="24"/>
        </w:rPr>
        <w:t xml:space="preserve">. This study did not evaluate the effect of </w:t>
      </w:r>
      <w:r w:rsidR="00A236FE">
        <w:rPr>
          <w:noProof/>
          <w:sz w:val="24"/>
          <w:szCs w:val="24"/>
        </w:rPr>
        <w:t xml:space="preserve">pediatric </w:t>
      </w:r>
      <w:r w:rsidRPr="007C154F">
        <w:rPr>
          <w:noProof/>
          <w:sz w:val="24"/>
          <w:szCs w:val="24"/>
        </w:rPr>
        <w:t>ceftriaxone dose rounding in regard to weight documentation, and should be considered an opportunity for future research.</w:t>
      </w:r>
    </w:p>
    <w:p w14:paraId="4C791AD3" w14:textId="253436C8" w:rsidR="004C3B4F" w:rsidRPr="007C154F" w:rsidRDefault="004C3B4F" w:rsidP="004C3B4F">
      <w:pPr>
        <w:pStyle w:val="IOPAbsText"/>
        <w:ind w:right="14" w:firstLine="230"/>
        <w:jc w:val="both"/>
        <w:rPr>
          <w:noProof/>
          <w:sz w:val="24"/>
          <w:szCs w:val="24"/>
        </w:rPr>
      </w:pPr>
      <w:r w:rsidRPr="007C154F">
        <w:rPr>
          <w:noProof/>
          <w:sz w:val="24"/>
          <w:szCs w:val="24"/>
        </w:rPr>
        <w:t xml:space="preserve">A 2014 systematic review evaluated the feasibility and efficacy of </w:t>
      </w:r>
      <w:r w:rsidR="00A236FE">
        <w:rPr>
          <w:noProof/>
          <w:sz w:val="24"/>
          <w:szCs w:val="24"/>
        </w:rPr>
        <w:t>developing a dose rounding</w:t>
      </w:r>
      <w:r w:rsidRPr="007C154F">
        <w:rPr>
          <w:noProof/>
          <w:sz w:val="24"/>
          <w:szCs w:val="24"/>
        </w:rPr>
        <w:t xml:space="preserve"> protocol. The</w:t>
      </w:r>
      <w:r w:rsidR="009263D1" w:rsidRPr="007C154F">
        <w:rPr>
          <w:noProof/>
          <w:sz w:val="24"/>
          <w:szCs w:val="24"/>
        </w:rPr>
        <w:t xml:space="preserve">re were </w:t>
      </w:r>
      <w:r w:rsidRPr="007C154F">
        <w:rPr>
          <w:noProof/>
          <w:sz w:val="24"/>
          <w:szCs w:val="24"/>
        </w:rPr>
        <w:t xml:space="preserve">74 medications </w:t>
      </w:r>
      <w:r w:rsidR="009263D1" w:rsidRPr="007C154F">
        <w:rPr>
          <w:noProof/>
          <w:sz w:val="24"/>
          <w:szCs w:val="24"/>
        </w:rPr>
        <w:t>included in the</w:t>
      </w:r>
      <w:r w:rsidR="00421CA3">
        <w:rPr>
          <w:noProof/>
          <w:sz w:val="24"/>
          <w:szCs w:val="24"/>
        </w:rPr>
        <w:t>ir</w:t>
      </w:r>
      <w:r w:rsidR="009263D1" w:rsidRPr="007C154F">
        <w:rPr>
          <w:noProof/>
          <w:sz w:val="24"/>
          <w:szCs w:val="24"/>
        </w:rPr>
        <w:t xml:space="preserve"> dose rounding table, all of which were utilized in the neonatal intensive care unit</w:t>
      </w:r>
      <w:r w:rsidRPr="007C154F">
        <w:rPr>
          <w:noProof/>
          <w:sz w:val="24"/>
          <w:szCs w:val="24"/>
        </w:rPr>
        <w:t>. The rounded doses were considered clinically appropriate for all medications, either by regional or institutional practices.</w:t>
      </w:r>
      <w:r w:rsidR="00EC66DE">
        <w:rPr>
          <w:noProof/>
          <w:sz w:val="24"/>
          <w:szCs w:val="24"/>
          <w:vertAlign w:val="superscript"/>
        </w:rPr>
        <w:t>3</w:t>
      </w:r>
      <w:r w:rsidRPr="007C154F">
        <w:rPr>
          <w:noProof/>
          <w:sz w:val="24"/>
          <w:szCs w:val="24"/>
        </w:rPr>
        <w:t xml:space="preserve"> While three </w:t>
      </w:r>
      <w:r w:rsidR="00496360" w:rsidRPr="007C154F">
        <w:rPr>
          <w:noProof/>
          <w:sz w:val="24"/>
          <w:szCs w:val="24"/>
        </w:rPr>
        <w:t xml:space="preserve">safety </w:t>
      </w:r>
      <w:r w:rsidRPr="007C154F">
        <w:rPr>
          <w:noProof/>
          <w:sz w:val="24"/>
          <w:szCs w:val="24"/>
        </w:rPr>
        <w:t>events occurred in the post-implementation group</w:t>
      </w:r>
      <w:r w:rsidR="00496360" w:rsidRPr="007C154F">
        <w:rPr>
          <w:noProof/>
          <w:sz w:val="24"/>
          <w:szCs w:val="24"/>
        </w:rPr>
        <w:t xml:space="preserve"> of this study</w:t>
      </w:r>
      <w:r w:rsidRPr="007C154F">
        <w:rPr>
          <w:noProof/>
          <w:sz w:val="24"/>
          <w:szCs w:val="24"/>
        </w:rPr>
        <w:t xml:space="preserve">, none were caused by the </w:t>
      </w:r>
      <w:r w:rsidRPr="007C154F">
        <w:rPr>
          <w:noProof/>
          <w:sz w:val="24"/>
          <w:szCs w:val="24"/>
        </w:rPr>
        <w:lastRenderedPageBreak/>
        <w:t>implementation of the ceftriaxone dose rounding protocol.</w:t>
      </w:r>
    </w:p>
    <w:p w14:paraId="233B0ABB" w14:textId="426D7470" w:rsidR="007003FD" w:rsidRPr="007C154F" w:rsidRDefault="00E36288" w:rsidP="00B94406">
      <w:pPr>
        <w:spacing w:before="200" w:after="120"/>
        <w:rPr>
          <w:rFonts w:ascii="Times New Roman" w:hAnsi="Times New Roman"/>
          <w:b/>
          <w:i/>
          <w:iCs/>
          <w:sz w:val="24"/>
          <w:szCs w:val="24"/>
        </w:rPr>
      </w:pPr>
      <w:r w:rsidRPr="007C154F">
        <w:rPr>
          <w:rFonts w:ascii="Times New Roman" w:hAnsi="Times New Roman"/>
          <w:b/>
          <w:i/>
          <w:iCs/>
          <w:sz w:val="24"/>
          <w:szCs w:val="24"/>
        </w:rPr>
        <w:t>4.1 Limitations</w:t>
      </w:r>
    </w:p>
    <w:p w14:paraId="591523B5" w14:textId="59DB01FE" w:rsidR="004A2A08" w:rsidRPr="007C154F" w:rsidRDefault="00575AA7" w:rsidP="00B57590">
      <w:pPr>
        <w:spacing w:before="200" w:after="120"/>
        <w:ind w:firstLine="230"/>
        <w:jc w:val="both"/>
        <w:rPr>
          <w:rFonts w:ascii="Times New Roman" w:hAnsi="Times New Roman"/>
          <w:bCs/>
          <w:sz w:val="24"/>
          <w:szCs w:val="24"/>
        </w:rPr>
      </w:pPr>
      <w:r w:rsidRPr="007C154F">
        <w:rPr>
          <w:rFonts w:ascii="Times New Roman" w:hAnsi="Times New Roman"/>
          <w:bCs/>
          <w:sz w:val="24"/>
          <w:szCs w:val="24"/>
        </w:rPr>
        <w:t xml:space="preserve">The limitations of this project include the small sample size, the project being a </w:t>
      </w:r>
      <w:r w:rsidR="00D35CAD" w:rsidRPr="007C154F">
        <w:rPr>
          <w:rFonts w:ascii="Times New Roman" w:hAnsi="Times New Roman"/>
          <w:bCs/>
          <w:sz w:val="24"/>
          <w:szCs w:val="24"/>
        </w:rPr>
        <w:t xml:space="preserve">quasi-experimental </w:t>
      </w:r>
      <w:r w:rsidRPr="007C154F">
        <w:rPr>
          <w:rFonts w:ascii="Times New Roman" w:hAnsi="Times New Roman"/>
          <w:bCs/>
          <w:sz w:val="24"/>
          <w:szCs w:val="24"/>
        </w:rPr>
        <w:t xml:space="preserve">retrospective chart review and confounding variables that </w:t>
      </w:r>
      <w:r w:rsidR="00D35CAD" w:rsidRPr="007C154F">
        <w:rPr>
          <w:rFonts w:ascii="Times New Roman" w:hAnsi="Times New Roman"/>
          <w:bCs/>
          <w:sz w:val="24"/>
          <w:szCs w:val="24"/>
        </w:rPr>
        <w:t>could</w:t>
      </w:r>
      <w:r w:rsidRPr="007C154F">
        <w:rPr>
          <w:rFonts w:ascii="Times New Roman" w:hAnsi="Times New Roman"/>
          <w:bCs/>
          <w:sz w:val="24"/>
          <w:szCs w:val="24"/>
        </w:rPr>
        <w:t xml:space="preserve"> not controlled for. </w:t>
      </w:r>
      <w:r w:rsidR="00B50D2F" w:rsidRPr="007C154F">
        <w:rPr>
          <w:rFonts w:ascii="Times New Roman" w:hAnsi="Times New Roman"/>
          <w:bCs/>
          <w:sz w:val="24"/>
          <w:szCs w:val="24"/>
        </w:rPr>
        <w:t xml:space="preserve">Confounding factors include </w:t>
      </w:r>
      <w:r w:rsidR="00D35CAD" w:rsidRPr="007C154F">
        <w:rPr>
          <w:rFonts w:ascii="Times New Roman" w:hAnsi="Times New Roman"/>
          <w:bCs/>
          <w:sz w:val="24"/>
          <w:szCs w:val="24"/>
        </w:rPr>
        <w:t>nursing awareness of where to find antibiotics</w:t>
      </w:r>
      <w:r w:rsidR="007A316E" w:rsidRPr="007C154F">
        <w:rPr>
          <w:rFonts w:ascii="Times New Roman" w:hAnsi="Times New Roman"/>
          <w:bCs/>
          <w:sz w:val="24"/>
          <w:szCs w:val="24"/>
        </w:rPr>
        <w:t xml:space="preserve">, </w:t>
      </w:r>
      <w:r w:rsidR="00B50D2F" w:rsidRPr="007C154F">
        <w:rPr>
          <w:rFonts w:ascii="Times New Roman" w:hAnsi="Times New Roman"/>
          <w:bCs/>
          <w:sz w:val="24"/>
          <w:szCs w:val="24"/>
        </w:rPr>
        <w:t xml:space="preserve">as </w:t>
      </w:r>
      <w:r w:rsidR="00DB0B57" w:rsidRPr="007C154F">
        <w:rPr>
          <w:rFonts w:ascii="Times New Roman" w:hAnsi="Times New Roman"/>
          <w:bCs/>
          <w:sz w:val="24"/>
          <w:szCs w:val="24"/>
        </w:rPr>
        <w:t xml:space="preserve">well as </w:t>
      </w:r>
      <w:r w:rsidR="00B50D2F" w:rsidRPr="007C154F">
        <w:rPr>
          <w:rFonts w:ascii="Times New Roman" w:hAnsi="Times New Roman"/>
          <w:bCs/>
          <w:sz w:val="24"/>
          <w:szCs w:val="24"/>
        </w:rPr>
        <w:t xml:space="preserve">spikes in </w:t>
      </w:r>
      <w:r w:rsidR="00DB0B57" w:rsidRPr="007C154F">
        <w:rPr>
          <w:rFonts w:ascii="Times New Roman" w:hAnsi="Times New Roman"/>
          <w:bCs/>
          <w:sz w:val="24"/>
          <w:szCs w:val="24"/>
        </w:rPr>
        <w:t xml:space="preserve">RSV and influenza </w:t>
      </w:r>
      <w:r w:rsidR="00813DA5" w:rsidRPr="007C154F">
        <w:rPr>
          <w:rFonts w:ascii="Times New Roman" w:hAnsi="Times New Roman"/>
          <w:bCs/>
          <w:sz w:val="24"/>
          <w:szCs w:val="24"/>
        </w:rPr>
        <w:t>cases</w:t>
      </w:r>
      <w:r w:rsidR="00B50D2F" w:rsidRPr="007C154F">
        <w:rPr>
          <w:rFonts w:ascii="Times New Roman" w:hAnsi="Times New Roman"/>
          <w:bCs/>
          <w:sz w:val="24"/>
          <w:szCs w:val="24"/>
        </w:rPr>
        <w:t>. Notably</w:t>
      </w:r>
      <w:r w:rsidR="00813DA5" w:rsidRPr="007C154F">
        <w:rPr>
          <w:rFonts w:ascii="Times New Roman" w:hAnsi="Times New Roman"/>
          <w:bCs/>
          <w:sz w:val="24"/>
          <w:szCs w:val="24"/>
        </w:rPr>
        <w:t>,</w:t>
      </w:r>
      <w:r w:rsidR="007A316E" w:rsidRPr="007C154F">
        <w:rPr>
          <w:rFonts w:ascii="Times New Roman" w:hAnsi="Times New Roman"/>
          <w:bCs/>
          <w:sz w:val="24"/>
          <w:szCs w:val="24"/>
        </w:rPr>
        <w:t xml:space="preserve"> ED volumes </w:t>
      </w:r>
      <w:r w:rsidR="004A2A08" w:rsidRPr="007C154F">
        <w:rPr>
          <w:rFonts w:ascii="Times New Roman" w:hAnsi="Times New Roman"/>
          <w:bCs/>
          <w:sz w:val="24"/>
          <w:szCs w:val="24"/>
        </w:rPr>
        <w:t>had increase</w:t>
      </w:r>
      <w:r w:rsidR="00A572AF" w:rsidRPr="007C154F">
        <w:rPr>
          <w:rFonts w:ascii="Times New Roman" w:hAnsi="Times New Roman"/>
          <w:bCs/>
          <w:sz w:val="24"/>
          <w:szCs w:val="24"/>
        </w:rPr>
        <w:t xml:space="preserve">d in the post-implementation group, where historically ED volumes had been </w:t>
      </w:r>
      <w:r w:rsidR="007C154F" w:rsidRPr="007C154F">
        <w:rPr>
          <w:rFonts w:ascii="Times New Roman" w:hAnsi="Times New Roman"/>
          <w:bCs/>
          <w:sz w:val="24"/>
          <w:szCs w:val="24"/>
        </w:rPr>
        <w:t>consistent</w:t>
      </w:r>
      <w:r w:rsidR="00A572AF" w:rsidRPr="007C154F">
        <w:rPr>
          <w:rFonts w:ascii="Times New Roman" w:hAnsi="Times New Roman"/>
          <w:bCs/>
          <w:sz w:val="24"/>
          <w:szCs w:val="24"/>
        </w:rPr>
        <w:t xml:space="preserve"> throughout the year.</w:t>
      </w:r>
    </w:p>
    <w:p w14:paraId="6A9C645F" w14:textId="75F990D6" w:rsidR="00590F56" w:rsidRPr="007C154F" w:rsidRDefault="00286C55" w:rsidP="00712762">
      <w:pPr>
        <w:spacing w:before="200" w:after="120"/>
        <w:rPr>
          <w:rFonts w:ascii="Times New Roman" w:hAnsi="Times New Roman"/>
          <w:b/>
          <w:sz w:val="24"/>
          <w:szCs w:val="24"/>
        </w:rPr>
      </w:pPr>
      <w:r w:rsidRPr="007C154F">
        <w:rPr>
          <w:rFonts w:ascii="Times New Roman" w:hAnsi="Times New Roman"/>
          <w:b/>
          <w:sz w:val="24"/>
          <w:szCs w:val="24"/>
        </w:rPr>
        <w:t>5</w:t>
      </w:r>
      <w:r w:rsidR="00590F56" w:rsidRPr="007C154F">
        <w:rPr>
          <w:rFonts w:ascii="Times New Roman" w:hAnsi="Times New Roman"/>
          <w:b/>
          <w:sz w:val="24"/>
          <w:szCs w:val="24"/>
        </w:rPr>
        <w:t xml:space="preserve">. </w:t>
      </w:r>
      <w:r w:rsidRPr="007C154F">
        <w:rPr>
          <w:rFonts w:ascii="Times New Roman" w:hAnsi="Times New Roman"/>
          <w:b/>
          <w:sz w:val="24"/>
          <w:szCs w:val="24"/>
        </w:rPr>
        <w:t>Conclusion</w:t>
      </w:r>
    </w:p>
    <w:p w14:paraId="729A1AFE" w14:textId="1DA50909" w:rsidR="00A20B26" w:rsidRPr="007C154F" w:rsidRDefault="00A20B26" w:rsidP="006524DB">
      <w:pPr>
        <w:pStyle w:val="IOPAbsText"/>
        <w:ind w:right="14" w:firstLine="230"/>
        <w:jc w:val="both"/>
        <w:rPr>
          <w:noProof/>
          <w:sz w:val="24"/>
          <w:szCs w:val="24"/>
        </w:rPr>
      </w:pPr>
      <w:r w:rsidRPr="007C154F">
        <w:rPr>
          <w:noProof/>
          <w:sz w:val="24"/>
          <w:szCs w:val="24"/>
        </w:rPr>
        <w:t xml:space="preserve">Implementation of a pediatric ceftriaxone dose rounding protocol </w:t>
      </w:r>
      <w:r w:rsidR="009410D0" w:rsidRPr="007C154F">
        <w:rPr>
          <w:noProof/>
          <w:sz w:val="24"/>
          <w:szCs w:val="24"/>
        </w:rPr>
        <w:t xml:space="preserve">did not reduce time to first dose administration. The reduced number of doses prepared by the pharmacy IV room </w:t>
      </w:r>
      <w:r w:rsidR="001058DA" w:rsidRPr="007C154F">
        <w:rPr>
          <w:noProof/>
          <w:sz w:val="24"/>
          <w:szCs w:val="24"/>
        </w:rPr>
        <w:t>translates to more doses immediately availab</w:t>
      </w:r>
      <w:r w:rsidR="00421CA3">
        <w:rPr>
          <w:noProof/>
          <w:sz w:val="24"/>
          <w:szCs w:val="24"/>
        </w:rPr>
        <w:t>l</w:t>
      </w:r>
      <w:r w:rsidR="001058DA" w:rsidRPr="007C154F">
        <w:rPr>
          <w:noProof/>
          <w:sz w:val="24"/>
          <w:szCs w:val="24"/>
        </w:rPr>
        <w:t>e on the unit, and reduced time for pharmacy preparation and pharmacy man-hours.</w:t>
      </w:r>
      <w:r w:rsidR="00795FA7" w:rsidRPr="007C154F">
        <w:rPr>
          <w:noProof/>
          <w:sz w:val="24"/>
          <w:szCs w:val="24"/>
        </w:rPr>
        <w:t xml:space="preserve"> </w:t>
      </w:r>
      <w:r w:rsidR="00FC0764" w:rsidRPr="007C154F">
        <w:rPr>
          <w:noProof/>
          <w:sz w:val="24"/>
          <w:szCs w:val="24"/>
        </w:rPr>
        <w:t xml:space="preserve">There was no difference in time to administration despite an increase number of emergency visits over the same time interval. As </w:t>
      </w:r>
      <w:r w:rsidR="00DC327A" w:rsidRPr="007C154F">
        <w:rPr>
          <w:noProof/>
          <w:sz w:val="24"/>
          <w:szCs w:val="24"/>
        </w:rPr>
        <w:t xml:space="preserve">ED visits return to normal, the time to administration is expected to decrease for patients receiving their first dose of ceftriaxone in the ED. </w:t>
      </w:r>
      <w:r w:rsidR="0094080B" w:rsidRPr="007C154F">
        <w:rPr>
          <w:noProof/>
          <w:sz w:val="24"/>
          <w:szCs w:val="24"/>
        </w:rPr>
        <w:t xml:space="preserve">Future research has the opportunity to </w:t>
      </w:r>
      <w:r w:rsidR="007E2E98" w:rsidRPr="007C154F">
        <w:rPr>
          <w:noProof/>
          <w:sz w:val="24"/>
          <w:szCs w:val="24"/>
        </w:rPr>
        <w:t>expand dose rounding to other medications, as well as re-examin</w:t>
      </w:r>
      <w:r w:rsidR="00FD1958" w:rsidRPr="007C154F">
        <w:rPr>
          <w:noProof/>
          <w:sz w:val="24"/>
          <w:szCs w:val="24"/>
        </w:rPr>
        <w:t>ing</w:t>
      </w:r>
      <w:r w:rsidR="007E2E98" w:rsidRPr="007C154F">
        <w:rPr>
          <w:noProof/>
          <w:sz w:val="24"/>
          <w:szCs w:val="24"/>
        </w:rPr>
        <w:t xml:space="preserve"> time to administration during periods of similar ED volumes.</w:t>
      </w:r>
    </w:p>
    <w:p w14:paraId="0CEB2B36" w14:textId="27845789" w:rsidR="00B35DEC" w:rsidRPr="007C154F" w:rsidRDefault="00B35DEC" w:rsidP="006228A2">
      <w:pPr>
        <w:pStyle w:val="IOPH1"/>
        <w:rPr>
          <w:rFonts w:ascii="Times New Roman" w:hAnsi="Times New Roman"/>
          <w:noProof/>
          <w:sz w:val="24"/>
          <w:szCs w:val="24"/>
        </w:rPr>
      </w:pPr>
      <w:r w:rsidRPr="007C154F">
        <w:rPr>
          <w:rFonts w:ascii="Times New Roman" w:hAnsi="Times New Roman"/>
          <w:noProof/>
          <w:sz w:val="24"/>
          <w:szCs w:val="24"/>
        </w:rPr>
        <w:t>Conflicts of Interest</w:t>
      </w:r>
    </w:p>
    <w:p w14:paraId="0FBFB9CA" w14:textId="75628BE7" w:rsidR="00B35DEC" w:rsidRPr="007C154F" w:rsidRDefault="008C2045" w:rsidP="001C4341">
      <w:pPr>
        <w:pStyle w:val="IOPText"/>
        <w:ind w:firstLine="230"/>
        <w:rPr>
          <w:noProof/>
          <w:sz w:val="24"/>
          <w:szCs w:val="24"/>
        </w:rPr>
      </w:pPr>
      <w:r w:rsidRPr="007C154F">
        <w:rPr>
          <w:noProof/>
          <w:sz w:val="24"/>
          <w:szCs w:val="24"/>
        </w:rPr>
        <w:t>None of the</w:t>
      </w:r>
      <w:r w:rsidR="00794312" w:rsidRPr="007C154F">
        <w:rPr>
          <w:noProof/>
          <w:sz w:val="24"/>
          <w:szCs w:val="24"/>
        </w:rPr>
        <w:t xml:space="preserve"> </w:t>
      </w:r>
      <w:r w:rsidR="00437E1C" w:rsidRPr="007C154F">
        <w:rPr>
          <w:noProof/>
          <w:sz w:val="24"/>
          <w:szCs w:val="24"/>
        </w:rPr>
        <w:t>author</w:t>
      </w:r>
      <w:r w:rsidRPr="007C154F">
        <w:rPr>
          <w:noProof/>
          <w:sz w:val="24"/>
          <w:szCs w:val="24"/>
        </w:rPr>
        <w:t xml:space="preserve">s have </w:t>
      </w:r>
      <w:r w:rsidR="00A20B26" w:rsidRPr="007C154F">
        <w:rPr>
          <w:noProof/>
          <w:sz w:val="24"/>
          <w:szCs w:val="24"/>
        </w:rPr>
        <w:t>a conflict of interest to disclose.</w:t>
      </w:r>
    </w:p>
    <w:p w14:paraId="19D6F9FE" w14:textId="78B1E5E8" w:rsidR="006228A2" w:rsidRPr="007C154F" w:rsidRDefault="006228A2" w:rsidP="006228A2">
      <w:pPr>
        <w:pStyle w:val="IOPH1"/>
        <w:rPr>
          <w:rFonts w:ascii="Times New Roman" w:hAnsi="Times New Roman"/>
          <w:noProof/>
          <w:sz w:val="24"/>
          <w:szCs w:val="24"/>
        </w:rPr>
      </w:pPr>
      <w:r w:rsidRPr="007C154F">
        <w:rPr>
          <w:rFonts w:ascii="Times New Roman" w:hAnsi="Times New Roman"/>
          <w:noProof/>
          <w:sz w:val="24"/>
          <w:szCs w:val="24"/>
        </w:rPr>
        <w:t>Acknowledgements</w:t>
      </w:r>
    </w:p>
    <w:p w14:paraId="67414F9A" w14:textId="39FCB3DD" w:rsidR="0055274C" w:rsidRPr="007C154F" w:rsidRDefault="00F32AB5" w:rsidP="00794312">
      <w:pPr>
        <w:pStyle w:val="IOPText"/>
        <w:ind w:firstLine="230"/>
        <w:rPr>
          <w:noProof/>
          <w:sz w:val="24"/>
          <w:szCs w:val="24"/>
        </w:rPr>
      </w:pPr>
      <w:r w:rsidRPr="007C154F">
        <w:rPr>
          <w:noProof/>
          <w:sz w:val="24"/>
          <w:szCs w:val="24"/>
        </w:rPr>
        <w:t xml:space="preserve">The author </w:t>
      </w:r>
      <w:r w:rsidR="00794312" w:rsidRPr="007C154F">
        <w:rPr>
          <w:noProof/>
          <w:sz w:val="24"/>
          <w:szCs w:val="24"/>
        </w:rPr>
        <w:t>would like to thank</w:t>
      </w:r>
      <w:r w:rsidR="001C4341" w:rsidRPr="007C154F">
        <w:rPr>
          <w:noProof/>
          <w:sz w:val="24"/>
          <w:szCs w:val="24"/>
        </w:rPr>
        <w:t xml:space="preserve"> </w:t>
      </w:r>
      <w:r w:rsidR="00794312" w:rsidRPr="007C154F">
        <w:rPr>
          <w:noProof/>
          <w:sz w:val="24"/>
          <w:szCs w:val="24"/>
        </w:rPr>
        <w:t xml:space="preserve">the pharmacists </w:t>
      </w:r>
      <w:r w:rsidR="00A20B26" w:rsidRPr="007C154F">
        <w:rPr>
          <w:noProof/>
          <w:sz w:val="24"/>
          <w:szCs w:val="24"/>
        </w:rPr>
        <w:t xml:space="preserve">and statistician </w:t>
      </w:r>
      <w:r w:rsidR="00794312" w:rsidRPr="007C154F">
        <w:rPr>
          <w:noProof/>
          <w:sz w:val="24"/>
          <w:szCs w:val="24"/>
        </w:rPr>
        <w:t>who took part in the project.</w:t>
      </w:r>
    </w:p>
    <w:p w14:paraId="0CF31037" w14:textId="268DD496" w:rsidR="00674CAC" w:rsidRPr="007C154F" w:rsidRDefault="00674CAC" w:rsidP="00674CAC">
      <w:pPr>
        <w:pStyle w:val="IOPH1"/>
        <w:rPr>
          <w:rFonts w:ascii="Times New Roman" w:hAnsi="Times New Roman"/>
          <w:noProof/>
          <w:sz w:val="24"/>
          <w:szCs w:val="24"/>
        </w:rPr>
      </w:pPr>
      <w:r w:rsidRPr="007C154F">
        <w:rPr>
          <w:rFonts w:ascii="Times New Roman" w:hAnsi="Times New Roman"/>
          <w:noProof/>
          <w:sz w:val="24"/>
          <w:szCs w:val="24"/>
        </w:rPr>
        <w:t>References</w:t>
      </w:r>
    </w:p>
    <w:p w14:paraId="5F06880E" w14:textId="77777777" w:rsidR="001261A4" w:rsidRPr="007C154F" w:rsidRDefault="001261A4" w:rsidP="001261A4">
      <w:pPr>
        <w:numPr>
          <w:ilvl w:val="0"/>
          <w:numId w:val="13"/>
        </w:numPr>
        <w:spacing w:after="0"/>
        <w:jc w:val="both"/>
        <w:rPr>
          <w:rFonts w:ascii="Times New Roman" w:hAnsi="Times New Roman"/>
          <w:sz w:val="24"/>
          <w:szCs w:val="24"/>
        </w:rPr>
      </w:pPr>
      <w:proofErr w:type="spellStart"/>
      <w:r w:rsidRPr="007C154F">
        <w:rPr>
          <w:rFonts w:ascii="Times New Roman" w:hAnsi="Times New Roman"/>
          <w:sz w:val="24"/>
          <w:szCs w:val="24"/>
        </w:rPr>
        <w:t>Peltan</w:t>
      </w:r>
      <w:proofErr w:type="spellEnd"/>
      <w:r w:rsidRPr="007C154F">
        <w:rPr>
          <w:rFonts w:ascii="Times New Roman" w:hAnsi="Times New Roman"/>
          <w:sz w:val="24"/>
          <w:szCs w:val="24"/>
        </w:rPr>
        <w:t xml:space="preserve"> ID, Brown SM, Bledsoe JR, et al. ED Door-to-Antibiotic </w:t>
      </w:r>
      <w:proofErr w:type="gramStart"/>
      <w:r w:rsidRPr="007C154F">
        <w:rPr>
          <w:rFonts w:ascii="Times New Roman" w:hAnsi="Times New Roman"/>
          <w:sz w:val="24"/>
          <w:szCs w:val="24"/>
        </w:rPr>
        <w:t>Time</w:t>
      </w:r>
      <w:proofErr w:type="gramEnd"/>
      <w:r w:rsidRPr="007C154F">
        <w:rPr>
          <w:rFonts w:ascii="Times New Roman" w:hAnsi="Times New Roman"/>
          <w:sz w:val="24"/>
          <w:szCs w:val="24"/>
        </w:rPr>
        <w:t xml:space="preserve"> and Long-term Mortality in Sepsis. Chest. 2019;155(5):938-946. </w:t>
      </w:r>
      <w:proofErr w:type="gramStart"/>
      <w:r w:rsidRPr="007C154F">
        <w:rPr>
          <w:rFonts w:ascii="Times New Roman" w:hAnsi="Times New Roman"/>
          <w:sz w:val="24"/>
          <w:szCs w:val="24"/>
        </w:rPr>
        <w:t>doi:10.1016/j.chest</w:t>
      </w:r>
      <w:proofErr w:type="gramEnd"/>
      <w:r w:rsidRPr="007C154F">
        <w:rPr>
          <w:rFonts w:ascii="Times New Roman" w:hAnsi="Times New Roman"/>
          <w:sz w:val="24"/>
          <w:szCs w:val="24"/>
        </w:rPr>
        <w:t>.2019.02.008</w:t>
      </w:r>
    </w:p>
    <w:p w14:paraId="189E79A6" w14:textId="77777777" w:rsidR="001261A4" w:rsidRPr="007C154F" w:rsidRDefault="001261A4" w:rsidP="001261A4">
      <w:pPr>
        <w:numPr>
          <w:ilvl w:val="0"/>
          <w:numId w:val="13"/>
        </w:numPr>
        <w:spacing w:after="0"/>
        <w:jc w:val="both"/>
        <w:rPr>
          <w:rFonts w:ascii="Times New Roman" w:hAnsi="Times New Roman"/>
          <w:sz w:val="24"/>
          <w:szCs w:val="24"/>
        </w:rPr>
      </w:pPr>
      <w:proofErr w:type="spellStart"/>
      <w:r w:rsidRPr="007C154F">
        <w:rPr>
          <w:rFonts w:ascii="Times New Roman" w:hAnsi="Times New Roman"/>
          <w:sz w:val="24"/>
          <w:szCs w:val="24"/>
        </w:rPr>
        <w:t>Aseeri</w:t>
      </w:r>
      <w:proofErr w:type="spellEnd"/>
      <w:r w:rsidRPr="007C154F">
        <w:rPr>
          <w:rFonts w:ascii="Times New Roman" w:hAnsi="Times New Roman"/>
          <w:sz w:val="24"/>
          <w:szCs w:val="24"/>
        </w:rPr>
        <w:t xml:space="preserve"> MA. The impact of a pediatric antibiotic standard dosing table on dosing errors. J </w:t>
      </w:r>
      <w:proofErr w:type="spellStart"/>
      <w:r w:rsidRPr="007C154F">
        <w:rPr>
          <w:rFonts w:ascii="Times New Roman" w:hAnsi="Times New Roman"/>
          <w:sz w:val="24"/>
          <w:szCs w:val="24"/>
        </w:rPr>
        <w:t>Pediatr</w:t>
      </w:r>
      <w:proofErr w:type="spellEnd"/>
      <w:r w:rsidRPr="007C154F">
        <w:rPr>
          <w:rFonts w:ascii="Times New Roman" w:hAnsi="Times New Roman"/>
          <w:sz w:val="24"/>
          <w:szCs w:val="24"/>
        </w:rPr>
        <w:t xml:space="preserve"> </w:t>
      </w:r>
      <w:proofErr w:type="spellStart"/>
      <w:r w:rsidRPr="007C154F">
        <w:rPr>
          <w:rFonts w:ascii="Times New Roman" w:hAnsi="Times New Roman"/>
          <w:sz w:val="24"/>
          <w:szCs w:val="24"/>
        </w:rPr>
        <w:t>Pharmacol</w:t>
      </w:r>
      <w:proofErr w:type="spellEnd"/>
      <w:r w:rsidRPr="007C154F">
        <w:rPr>
          <w:rFonts w:ascii="Times New Roman" w:hAnsi="Times New Roman"/>
          <w:sz w:val="24"/>
          <w:szCs w:val="24"/>
        </w:rPr>
        <w:t xml:space="preserve"> </w:t>
      </w:r>
      <w:proofErr w:type="spellStart"/>
      <w:r w:rsidRPr="007C154F">
        <w:rPr>
          <w:rFonts w:ascii="Times New Roman" w:hAnsi="Times New Roman"/>
          <w:sz w:val="24"/>
          <w:szCs w:val="24"/>
        </w:rPr>
        <w:t>Ther</w:t>
      </w:r>
      <w:proofErr w:type="spellEnd"/>
      <w:r w:rsidRPr="007C154F">
        <w:rPr>
          <w:rFonts w:ascii="Times New Roman" w:hAnsi="Times New Roman"/>
          <w:sz w:val="24"/>
          <w:szCs w:val="24"/>
        </w:rPr>
        <w:t>. 2013;18(3):220-226. doi:10.5863/1551-6776-18.3.220</w:t>
      </w:r>
    </w:p>
    <w:p w14:paraId="01C462CD" w14:textId="12AD92C0" w:rsidR="00F73D04" w:rsidRPr="007C154F" w:rsidRDefault="001261A4" w:rsidP="001261A4">
      <w:pPr>
        <w:numPr>
          <w:ilvl w:val="0"/>
          <w:numId w:val="13"/>
        </w:numPr>
        <w:spacing w:after="0"/>
        <w:jc w:val="both"/>
        <w:rPr>
          <w:rFonts w:ascii="Times New Roman" w:hAnsi="Times New Roman"/>
          <w:sz w:val="24"/>
          <w:szCs w:val="24"/>
        </w:rPr>
      </w:pPr>
      <w:r w:rsidRPr="007C154F">
        <w:rPr>
          <w:rFonts w:ascii="Times New Roman" w:hAnsi="Times New Roman"/>
          <w:sz w:val="24"/>
          <w:szCs w:val="24"/>
        </w:rPr>
        <w:t xml:space="preserve">Jones AN, Miller JL, Neely S, et al. Prevalence of Unrounded Medication Doses and Associated Factors Among Hospitalized Pediatric Patients. J </w:t>
      </w:r>
      <w:proofErr w:type="spellStart"/>
      <w:r w:rsidRPr="007C154F">
        <w:rPr>
          <w:rFonts w:ascii="Times New Roman" w:hAnsi="Times New Roman"/>
          <w:sz w:val="24"/>
          <w:szCs w:val="24"/>
        </w:rPr>
        <w:t>Pediatr</w:t>
      </w:r>
      <w:proofErr w:type="spellEnd"/>
      <w:r w:rsidRPr="007C154F">
        <w:rPr>
          <w:rFonts w:ascii="Times New Roman" w:hAnsi="Times New Roman"/>
          <w:sz w:val="24"/>
          <w:szCs w:val="24"/>
        </w:rPr>
        <w:t xml:space="preserve"> </w:t>
      </w:r>
      <w:proofErr w:type="spellStart"/>
      <w:r w:rsidRPr="007C154F">
        <w:rPr>
          <w:rFonts w:ascii="Times New Roman" w:hAnsi="Times New Roman"/>
          <w:sz w:val="24"/>
          <w:szCs w:val="24"/>
        </w:rPr>
        <w:t>Pharmacol</w:t>
      </w:r>
      <w:proofErr w:type="spellEnd"/>
      <w:r w:rsidRPr="007C154F">
        <w:rPr>
          <w:rFonts w:ascii="Times New Roman" w:hAnsi="Times New Roman"/>
          <w:sz w:val="24"/>
          <w:szCs w:val="24"/>
        </w:rPr>
        <w:t xml:space="preserve"> </w:t>
      </w:r>
      <w:proofErr w:type="spellStart"/>
      <w:r w:rsidRPr="007C154F">
        <w:rPr>
          <w:rFonts w:ascii="Times New Roman" w:hAnsi="Times New Roman"/>
          <w:sz w:val="24"/>
          <w:szCs w:val="24"/>
        </w:rPr>
        <w:t>Ther</w:t>
      </w:r>
      <w:proofErr w:type="spellEnd"/>
      <w:r w:rsidRPr="007C154F">
        <w:rPr>
          <w:rFonts w:ascii="Times New Roman" w:hAnsi="Times New Roman"/>
          <w:sz w:val="24"/>
          <w:szCs w:val="24"/>
        </w:rPr>
        <w:t xml:space="preserve">. 2017;22(4):286-292. </w:t>
      </w:r>
      <w:proofErr w:type="gramStart"/>
      <w:r w:rsidRPr="007C154F">
        <w:rPr>
          <w:rFonts w:ascii="Times New Roman" w:hAnsi="Times New Roman"/>
          <w:sz w:val="24"/>
          <w:szCs w:val="24"/>
        </w:rPr>
        <w:t>doi:10.5863/1551-6776-22.4.286</w:t>
      </w:r>
      <w:r w:rsidR="00F73D04" w:rsidRPr="007C154F">
        <w:rPr>
          <w:rFonts w:ascii="Times New Roman" w:hAnsi="Times New Roman"/>
          <w:sz w:val="24"/>
          <w:szCs w:val="24"/>
        </w:rPr>
        <w:t>Dickerson</w:t>
      </w:r>
      <w:proofErr w:type="gramEnd"/>
      <w:r w:rsidR="00F73D04" w:rsidRPr="007C154F">
        <w:rPr>
          <w:rFonts w:ascii="Times New Roman" w:hAnsi="Times New Roman"/>
          <w:sz w:val="24"/>
          <w:szCs w:val="24"/>
        </w:rPr>
        <w:t xml:space="preserve"> LM, </w:t>
      </w:r>
      <w:proofErr w:type="spellStart"/>
      <w:r w:rsidR="00F73D04" w:rsidRPr="007C154F">
        <w:rPr>
          <w:rFonts w:ascii="Times New Roman" w:hAnsi="Times New Roman"/>
          <w:sz w:val="24"/>
          <w:szCs w:val="24"/>
        </w:rPr>
        <w:t>Mainous</w:t>
      </w:r>
      <w:proofErr w:type="spellEnd"/>
      <w:r w:rsidR="00F73D04" w:rsidRPr="007C154F">
        <w:rPr>
          <w:rFonts w:ascii="Times New Roman" w:hAnsi="Times New Roman"/>
          <w:sz w:val="24"/>
          <w:szCs w:val="24"/>
        </w:rPr>
        <w:t xml:space="preserve"> AG 3rd, </w:t>
      </w:r>
      <w:proofErr w:type="spellStart"/>
      <w:r w:rsidR="00F73D04" w:rsidRPr="007C154F">
        <w:rPr>
          <w:rFonts w:ascii="Times New Roman" w:hAnsi="Times New Roman"/>
          <w:sz w:val="24"/>
          <w:szCs w:val="24"/>
        </w:rPr>
        <w:t>Carek</w:t>
      </w:r>
      <w:proofErr w:type="spellEnd"/>
      <w:r w:rsidR="00F73D04" w:rsidRPr="007C154F">
        <w:rPr>
          <w:rFonts w:ascii="Times New Roman" w:hAnsi="Times New Roman"/>
          <w:sz w:val="24"/>
          <w:szCs w:val="24"/>
        </w:rPr>
        <w:t xml:space="preserve"> PJ. The pharmacist's role in promoting optimal antimicrobial use. </w:t>
      </w:r>
      <w:r w:rsidR="00F73D04" w:rsidRPr="007C154F">
        <w:rPr>
          <w:rFonts w:ascii="Times New Roman" w:hAnsi="Times New Roman"/>
          <w:i/>
          <w:iCs/>
          <w:sz w:val="24"/>
          <w:szCs w:val="24"/>
        </w:rPr>
        <w:t>Pharmacotherapy</w:t>
      </w:r>
      <w:r w:rsidR="00F73D04" w:rsidRPr="007C154F">
        <w:rPr>
          <w:rFonts w:ascii="Times New Roman" w:hAnsi="Times New Roman"/>
          <w:sz w:val="24"/>
          <w:szCs w:val="24"/>
        </w:rPr>
        <w:t>. 2000;20(6):711-723. doi:10.1592/phco.20.7.711.35171</w:t>
      </w:r>
    </w:p>
    <w:p w14:paraId="681C0197" w14:textId="77777777" w:rsidR="00674CAC" w:rsidRDefault="00674CAC" w:rsidP="006228A2">
      <w:pPr>
        <w:pStyle w:val="IOPH1"/>
        <w:rPr>
          <w:rFonts w:ascii="Times New Roman" w:hAnsi="Times New Roman"/>
          <w:noProof/>
          <w:sz w:val="24"/>
          <w:szCs w:val="24"/>
        </w:rPr>
      </w:pPr>
    </w:p>
    <w:p w14:paraId="57D00352" w14:textId="77777777" w:rsidR="00356806" w:rsidRPr="007C154F" w:rsidRDefault="00356806" w:rsidP="006228A2">
      <w:pPr>
        <w:pStyle w:val="IOPH1"/>
        <w:rPr>
          <w:rFonts w:ascii="Times New Roman" w:hAnsi="Times New Roman"/>
          <w:noProof/>
          <w:sz w:val="24"/>
          <w:szCs w:val="24"/>
        </w:rPr>
      </w:pPr>
    </w:p>
    <w:p w14:paraId="1575E988" w14:textId="77777777" w:rsidR="00674CAC" w:rsidRPr="007C154F" w:rsidRDefault="00674CAC" w:rsidP="006228A2">
      <w:pPr>
        <w:pStyle w:val="IOPH1"/>
        <w:rPr>
          <w:rFonts w:ascii="Times New Roman" w:hAnsi="Times New Roman"/>
          <w:noProof/>
          <w:sz w:val="24"/>
          <w:szCs w:val="24"/>
        </w:rPr>
      </w:pPr>
    </w:p>
    <w:p w14:paraId="678CBA8E" w14:textId="77777777" w:rsidR="00674CAC" w:rsidRPr="007C154F" w:rsidRDefault="00674CAC" w:rsidP="006228A2">
      <w:pPr>
        <w:pStyle w:val="IOPH1"/>
        <w:rPr>
          <w:rFonts w:ascii="Times New Roman" w:hAnsi="Times New Roman"/>
          <w:noProof/>
          <w:sz w:val="24"/>
          <w:szCs w:val="24"/>
        </w:rPr>
      </w:pPr>
    </w:p>
    <w:p w14:paraId="1CDDC39D" w14:textId="77777777" w:rsidR="00674CAC" w:rsidRPr="007C154F" w:rsidRDefault="00674CAC" w:rsidP="006228A2">
      <w:pPr>
        <w:pStyle w:val="IOPH1"/>
        <w:rPr>
          <w:rFonts w:ascii="Times New Roman" w:hAnsi="Times New Roman"/>
          <w:noProof/>
          <w:sz w:val="24"/>
          <w:szCs w:val="24"/>
        </w:rPr>
      </w:pPr>
    </w:p>
    <w:p w14:paraId="02A61257" w14:textId="77777777" w:rsidR="00674CAC" w:rsidRPr="007C154F" w:rsidRDefault="00674CAC" w:rsidP="006228A2">
      <w:pPr>
        <w:pStyle w:val="IOPH1"/>
        <w:rPr>
          <w:rFonts w:ascii="Times New Roman" w:hAnsi="Times New Roman"/>
          <w:noProof/>
          <w:sz w:val="24"/>
          <w:szCs w:val="24"/>
        </w:rPr>
      </w:pPr>
    </w:p>
    <w:p w14:paraId="381A3ED7" w14:textId="77777777" w:rsidR="00674CAC" w:rsidRPr="007C154F" w:rsidRDefault="00674CAC" w:rsidP="006228A2">
      <w:pPr>
        <w:pStyle w:val="IOPH1"/>
        <w:rPr>
          <w:rFonts w:ascii="Times New Roman" w:hAnsi="Times New Roman"/>
          <w:noProof/>
          <w:sz w:val="24"/>
          <w:szCs w:val="24"/>
        </w:rPr>
      </w:pPr>
    </w:p>
    <w:p w14:paraId="61E99087" w14:textId="77777777" w:rsidR="00674CAC" w:rsidRPr="007C154F" w:rsidRDefault="00674CAC" w:rsidP="006228A2">
      <w:pPr>
        <w:pStyle w:val="IOPH1"/>
        <w:rPr>
          <w:rFonts w:ascii="Times New Roman" w:hAnsi="Times New Roman"/>
          <w:noProof/>
          <w:sz w:val="24"/>
          <w:szCs w:val="24"/>
        </w:rPr>
      </w:pPr>
    </w:p>
    <w:p w14:paraId="5A54010C" w14:textId="77777777" w:rsidR="00674CAC" w:rsidRPr="007C154F" w:rsidRDefault="00674CAC" w:rsidP="00356806">
      <w:pPr>
        <w:tabs>
          <w:tab w:val="left" w:pos="540"/>
          <w:tab w:val="center" w:pos="3600"/>
          <w:tab w:val="left" w:pos="4320"/>
          <w:tab w:val="center" w:pos="4680"/>
          <w:tab w:val="left" w:pos="6480"/>
          <w:tab w:val="left" w:pos="7920"/>
          <w:tab w:val="right" w:pos="9360"/>
        </w:tabs>
        <w:spacing w:after="0" w:line="240" w:lineRule="auto"/>
        <w:rPr>
          <w:rFonts w:ascii="Times New Roman" w:hAnsi="Times New Roman"/>
          <w:b/>
          <w:noProof/>
          <w:sz w:val="24"/>
          <w:szCs w:val="24"/>
          <w:lang w:val="en-US"/>
        </w:rPr>
        <w:sectPr w:rsidR="00674CAC" w:rsidRPr="007C154F" w:rsidSect="00674CAC">
          <w:type w:val="continuous"/>
          <w:pgSz w:w="11906" w:h="16838" w:code="9"/>
          <w:pgMar w:top="1800" w:right="1008" w:bottom="1800" w:left="1008" w:header="720" w:footer="720" w:gutter="0"/>
          <w:cols w:num="2" w:space="227"/>
          <w:docGrid w:linePitch="360"/>
        </w:sectPr>
      </w:pPr>
    </w:p>
    <w:p w14:paraId="41BE3EF6" w14:textId="77777777" w:rsidR="001261A4" w:rsidRDefault="001261A4" w:rsidP="00356806">
      <w:pPr>
        <w:tabs>
          <w:tab w:val="left" w:pos="540"/>
          <w:tab w:val="center" w:pos="3600"/>
          <w:tab w:val="left" w:pos="4320"/>
          <w:tab w:val="center" w:pos="4680"/>
          <w:tab w:val="left" w:pos="6480"/>
          <w:tab w:val="left" w:pos="7920"/>
          <w:tab w:val="right" w:pos="9360"/>
        </w:tabs>
        <w:spacing w:after="0" w:line="240" w:lineRule="auto"/>
        <w:rPr>
          <w:rFonts w:ascii="Times New Roman" w:hAnsi="Times New Roman"/>
          <w:b/>
          <w:noProof/>
          <w:sz w:val="24"/>
          <w:szCs w:val="24"/>
          <w:lang w:val="en-US"/>
        </w:rPr>
      </w:pPr>
    </w:p>
    <w:p w14:paraId="0A73D65F" w14:textId="77777777" w:rsidR="00A42E3F" w:rsidRDefault="00A42E3F" w:rsidP="00356806">
      <w:pPr>
        <w:tabs>
          <w:tab w:val="left" w:pos="540"/>
          <w:tab w:val="center" w:pos="3600"/>
          <w:tab w:val="left" w:pos="4320"/>
          <w:tab w:val="center" w:pos="4680"/>
          <w:tab w:val="left" w:pos="6480"/>
          <w:tab w:val="left" w:pos="7920"/>
          <w:tab w:val="right" w:pos="9360"/>
        </w:tabs>
        <w:spacing w:after="0" w:line="240" w:lineRule="auto"/>
        <w:rPr>
          <w:rFonts w:ascii="Times New Roman" w:hAnsi="Times New Roman"/>
          <w:b/>
          <w:noProof/>
          <w:sz w:val="24"/>
          <w:szCs w:val="24"/>
          <w:lang w:val="en-US"/>
        </w:rPr>
      </w:pPr>
    </w:p>
    <w:p w14:paraId="5A747167" w14:textId="77777777" w:rsidR="00A42E3F" w:rsidRDefault="00A42E3F" w:rsidP="00356806">
      <w:pPr>
        <w:tabs>
          <w:tab w:val="left" w:pos="540"/>
          <w:tab w:val="center" w:pos="3600"/>
          <w:tab w:val="left" w:pos="4320"/>
          <w:tab w:val="center" w:pos="4680"/>
          <w:tab w:val="left" w:pos="6480"/>
          <w:tab w:val="left" w:pos="7920"/>
          <w:tab w:val="right" w:pos="9360"/>
        </w:tabs>
        <w:spacing w:after="0" w:line="240" w:lineRule="auto"/>
        <w:rPr>
          <w:rFonts w:ascii="Times New Roman" w:hAnsi="Times New Roman"/>
          <w:b/>
          <w:noProof/>
          <w:sz w:val="24"/>
          <w:szCs w:val="24"/>
          <w:lang w:val="en-US"/>
        </w:rPr>
      </w:pPr>
    </w:p>
    <w:p w14:paraId="777980B1" w14:textId="77777777" w:rsidR="00A42E3F" w:rsidRDefault="00A42E3F" w:rsidP="00356806">
      <w:pPr>
        <w:tabs>
          <w:tab w:val="left" w:pos="540"/>
          <w:tab w:val="center" w:pos="3600"/>
          <w:tab w:val="left" w:pos="4320"/>
          <w:tab w:val="center" w:pos="4680"/>
          <w:tab w:val="left" w:pos="6480"/>
          <w:tab w:val="left" w:pos="7920"/>
          <w:tab w:val="right" w:pos="9360"/>
        </w:tabs>
        <w:spacing w:after="0" w:line="240" w:lineRule="auto"/>
        <w:rPr>
          <w:rFonts w:ascii="Times New Roman" w:hAnsi="Times New Roman"/>
          <w:b/>
          <w:noProof/>
          <w:sz w:val="24"/>
          <w:szCs w:val="24"/>
          <w:lang w:val="en-US"/>
        </w:rPr>
      </w:pPr>
    </w:p>
    <w:p w14:paraId="5656EADA" w14:textId="77777777" w:rsidR="00A42E3F" w:rsidRDefault="00A42E3F" w:rsidP="00356806">
      <w:pPr>
        <w:tabs>
          <w:tab w:val="left" w:pos="540"/>
          <w:tab w:val="center" w:pos="3600"/>
          <w:tab w:val="left" w:pos="4320"/>
          <w:tab w:val="center" w:pos="4680"/>
          <w:tab w:val="left" w:pos="6480"/>
          <w:tab w:val="left" w:pos="7920"/>
          <w:tab w:val="right" w:pos="9360"/>
        </w:tabs>
        <w:spacing w:after="0" w:line="240" w:lineRule="auto"/>
        <w:rPr>
          <w:rFonts w:ascii="Times New Roman" w:hAnsi="Times New Roman"/>
          <w:b/>
          <w:noProof/>
          <w:sz w:val="24"/>
          <w:szCs w:val="24"/>
          <w:lang w:val="en-US"/>
        </w:rPr>
      </w:pPr>
    </w:p>
    <w:p w14:paraId="4B0CAB22" w14:textId="77777777" w:rsidR="00A42E3F" w:rsidRDefault="00A42E3F" w:rsidP="00356806">
      <w:pPr>
        <w:tabs>
          <w:tab w:val="left" w:pos="540"/>
          <w:tab w:val="center" w:pos="3600"/>
          <w:tab w:val="left" w:pos="4320"/>
          <w:tab w:val="center" w:pos="4680"/>
          <w:tab w:val="left" w:pos="6480"/>
          <w:tab w:val="left" w:pos="7920"/>
          <w:tab w:val="right" w:pos="9360"/>
        </w:tabs>
        <w:spacing w:after="0" w:line="240" w:lineRule="auto"/>
        <w:rPr>
          <w:rFonts w:ascii="Times New Roman" w:hAnsi="Times New Roman"/>
          <w:b/>
          <w:noProof/>
          <w:sz w:val="24"/>
          <w:szCs w:val="24"/>
          <w:lang w:val="en-US"/>
        </w:rPr>
      </w:pPr>
    </w:p>
    <w:p w14:paraId="1C19CF99" w14:textId="77777777" w:rsidR="00A42E3F" w:rsidRPr="007C154F" w:rsidRDefault="00A42E3F" w:rsidP="00356806">
      <w:pPr>
        <w:tabs>
          <w:tab w:val="left" w:pos="540"/>
          <w:tab w:val="center" w:pos="3600"/>
          <w:tab w:val="left" w:pos="4320"/>
          <w:tab w:val="center" w:pos="4680"/>
          <w:tab w:val="left" w:pos="6480"/>
          <w:tab w:val="left" w:pos="7920"/>
          <w:tab w:val="right" w:pos="9360"/>
        </w:tabs>
        <w:spacing w:after="0" w:line="240" w:lineRule="auto"/>
        <w:rPr>
          <w:rFonts w:ascii="Times New Roman" w:hAnsi="Times New Roman"/>
          <w:b/>
          <w:noProof/>
          <w:sz w:val="24"/>
          <w:szCs w:val="24"/>
          <w:lang w:val="en-US"/>
        </w:rPr>
      </w:pPr>
    </w:p>
    <w:p w14:paraId="3DE5BB34" w14:textId="7A664DA9" w:rsidR="006B6377" w:rsidRPr="007C154F" w:rsidRDefault="006B6377" w:rsidP="006B6377">
      <w:pPr>
        <w:tabs>
          <w:tab w:val="left" w:pos="540"/>
          <w:tab w:val="center" w:pos="3600"/>
          <w:tab w:val="left" w:pos="4320"/>
          <w:tab w:val="center" w:pos="4680"/>
          <w:tab w:val="left" w:pos="6480"/>
          <w:tab w:val="left" w:pos="7920"/>
          <w:tab w:val="right" w:pos="9360"/>
        </w:tabs>
        <w:spacing w:after="0" w:line="240" w:lineRule="auto"/>
        <w:jc w:val="center"/>
        <w:rPr>
          <w:rFonts w:ascii="Times New Roman" w:hAnsi="Times New Roman"/>
          <w:b/>
          <w:noProof/>
          <w:sz w:val="24"/>
          <w:szCs w:val="24"/>
          <w:lang w:val="en-US"/>
        </w:rPr>
      </w:pPr>
      <w:r w:rsidRPr="007C154F">
        <w:rPr>
          <w:rFonts w:ascii="Times New Roman" w:hAnsi="Times New Roman"/>
          <w:b/>
          <w:noProof/>
          <w:sz w:val="24"/>
          <w:szCs w:val="24"/>
          <w:lang w:val="en-US"/>
        </w:rPr>
        <w:lastRenderedPageBreak/>
        <w:t>Appendix A</w:t>
      </w:r>
    </w:p>
    <w:p w14:paraId="2D3D6BC7" w14:textId="77777777" w:rsidR="00A13439" w:rsidRPr="007C154F" w:rsidRDefault="00A13439" w:rsidP="00A13439">
      <w:pPr>
        <w:spacing w:after="120" w:line="240" w:lineRule="auto"/>
        <w:ind w:left="720" w:hanging="360"/>
        <w:jc w:val="center"/>
        <w:rPr>
          <w:rFonts w:ascii="Times New Roman" w:hAnsi="Times New Roman"/>
          <w:color w:val="000000" w:themeColor="text1"/>
          <w:sz w:val="24"/>
          <w:szCs w:val="24"/>
        </w:rPr>
      </w:pPr>
      <w:r w:rsidRPr="007C154F">
        <w:rPr>
          <w:rFonts w:ascii="Times New Roman" w:hAnsi="Times New Roman"/>
          <w:color w:val="000000" w:themeColor="text1"/>
          <w:sz w:val="24"/>
          <w:szCs w:val="24"/>
        </w:rPr>
        <w:t>Pediatric Dose Rounding Protocol</w:t>
      </w:r>
    </w:p>
    <w:p w14:paraId="285C7089" w14:textId="77777777" w:rsidR="00A13439" w:rsidRPr="007C154F" w:rsidRDefault="00A13439" w:rsidP="00A13439">
      <w:pPr>
        <w:spacing w:after="120" w:line="240" w:lineRule="auto"/>
        <w:ind w:left="720" w:hanging="360"/>
        <w:jc w:val="center"/>
        <w:rPr>
          <w:rFonts w:ascii="Times New Roman" w:hAnsi="Times New Roman"/>
          <w:color w:val="000000" w:themeColor="text1"/>
          <w:sz w:val="24"/>
          <w:szCs w:val="24"/>
        </w:rPr>
      </w:pPr>
    </w:p>
    <w:p w14:paraId="7D55F6EE" w14:textId="77777777" w:rsidR="00A13439" w:rsidRPr="007C154F" w:rsidRDefault="00A13439" w:rsidP="00A13439">
      <w:pPr>
        <w:pStyle w:val="ListParagraph"/>
        <w:numPr>
          <w:ilvl w:val="0"/>
          <w:numId w:val="16"/>
        </w:numPr>
        <w:spacing w:after="120" w:line="240" w:lineRule="auto"/>
        <w:ind w:left="720" w:hanging="360"/>
        <w:contextualSpacing w:val="0"/>
        <w:rPr>
          <w:rFonts w:ascii="Times New Roman" w:hAnsi="Times New Roman" w:cs="Times New Roman"/>
          <w:b/>
          <w:color w:val="000000" w:themeColor="text1"/>
          <w:sz w:val="24"/>
          <w:szCs w:val="24"/>
        </w:rPr>
      </w:pPr>
      <w:r w:rsidRPr="007C154F">
        <w:rPr>
          <w:rFonts w:ascii="Times New Roman" w:hAnsi="Times New Roman" w:cs="Times New Roman"/>
          <w:b/>
          <w:color w:val="000000" w:themeColor="text1"/>
          <w:sz w:val="24"/>
          <w:szCs w:val="24"/>
        </w:rPr>
        <w:t>Background</w:t>
      </w:r>
    </w:p>
    <w:p w14:paraId="65EF0D62" w14:textId="77777777" w:rsidR="00A13439" w:rsidRPr="007C154F" w:rsidRDefault="00A13439" w:rsidP="00A13439">
      <w:pPr>
        <w:pStyle w:val="BodyText"/>
        <w:ind w:left="720"/>
        <w:rPr>
          <w:rFonts w:ascii="Times New Roman" w:hAnsi="Times New Roman"/>
          <w:color w:val="000000" w:themeColor="text1"/>
          <w:sz w:val="24"/>
          <w:szCs w:val="24"/>
        </w:rPr>
      </w:pPr>
      <w:r w:rsidRPr="007C154F">
        <w:rPr>
          <w:rFonts w:ascii="Times New Roman" w:hAnsi="Times New Roman"/>
          <w:iCs/>
          <w:sz w:val="24"/>
          <w:szCs w:val="24"/>
        </w:rPr>
        <w:t xml:space="preserve">Medication dose standardization has been shown to improve interdisciplinary communication, reduce medication errors and expedite medication procurement. </w:t>
      </w:r>
      <w:r w:rsidRPr="007C154F">
        <w:rPr>
          <w:rFonts w:ascii="Times New Roman" w:hAnsi="Times New Roman"/>
          <w:sz w:val="24"/>
          <w:szCs w:val="24"/>
        </w:rPr>
        <w:t>This protocol allows certain pediatric medication orders to automatically round to a pre-defined and approved standard dose.  Physicians need not change their current dose calculation or order writing practices unless the protocol is deemed clinically inappropriate for a specific patient</w:t>
      </w:r>
      <w:r w:rsidRPr="007C154F">
        <w:rPr>
          <w:rFonts w:ascii="Times New Roman" w:hAnsi="Times New Roman"/>
          <w:color w:val="000000" w:themeColor="text1"/>
          <w:sz w:val="24"/>
          <w:szCs w:val="24"/>
        </w:rPr>
        <w:t>.</w:t>
      </w:r>
    </w:p>
    <w:p w14:paraId="1EE14B6F" w14:textId="77777777" w:rsidR="00A13439" w:rsidRPr="007C154F" w:rsidRDefault="00A13439" w:rsidP="00A13439">
      <w:pPr>
        <w:spacing w:after="120" w:line="240" w:lineRule="auto"/>
        <w:ind w:left="720"/>
        <w:rPr>
          <w:rFonts w:ascii="Times New Roman" w:hAnsi="Times New Roman"/>
          <w:b/>
          <w:color w:val="000000" w:themeColor="text1"/>
          <w:sz w:val="24"/>
          <w:szCs w:val="24"/>
        </w:rPr>
      </w:pPr>
    </w:p>
    <w:p w14:paraId="4417AB34" w14:textId="77777777" w:rsidR="00A13439" w:rsidRPr="007C154F" w:rsidRDefault="00A13439" w:rsidP="00A13439">
      <w:pPr>
        <w:pStyle w:val="ListParagraph"/>
        <w:numPr>
          <w:ilvl w:val="0"/>
          <w:numId w:val="16"/>
        </w:numPr>
        <w:spacing w:after="120" w:line="240" w:lineRule="auto"/>
        <w:ind w:left="720" w:hanging="360"/>
        <w:contextualSpacing w:val="0"/>
        <w:rPr>
          <w:rFonts w:ascii="Times New Roman" w:hAnsi="Times New Roman" w:cs="Times New Roman"/>
          <w:b/>
          <w:color w:val="000000" w:themeColor="text1"/>
          <w:sz w:val="24"/>
          <w:szCs w:val="24"/>
        </w:rPr>
      </w:pPr>
      <w:r w:rsidRPr="007C154F">
        <w:rPr>
          <w:rFonts w:ascii="Times New Roman" w:hAnsi="Times New Roman" w:cs="Times New Roman"/>
          <w:b/>
          <w:color w:val="000000" w:themeColor="text1"/>
          <w:sz w:val="24"/>
          <w:szCs w:val="24"/>
        </w:rPr>
        <w:t>Purpose</w:t>
      </w:r>
    </w:p>
    <w:p w14:paraId="5B0FC77A" w14:textId="77777777" w:rsidR="00A13439" w:rsidRPr="007C154F" w:rsidRDefault="00A13439" w:rsidP="00A13439">
      <w:pPr>
        <w:pStyle w:val="BodyText"/>
        <w:ind w:left="720"/>
        <w:rPr>
          <w:rFonts w:ascii="Times New Roman" w:hAnsi="Times New Roman"/>
          <w:color w:val="000000" w:themeColor="text1"/>
          <w:sz w:val="24"/>
          <w:szCs w:val="24"/>
        </w:rPr>
      </w:pPr>
      <w:r w:rsidRPr="007C154F">
        <w:rPr>
          <w:rFonts w:ascii="Times New Roman" w:hAnsi="Times New Roman"/>
          <w:sz w:val="24"/>
          <w:szCs w:val="24"/>
        </w:rPr>
        <w:t>This protocol allows for certain pediatric medication orders to automatically round to pre</w:t>
      </w:r>
      <w:r w:rsidRPr="007C154F">
        <w:rPr>
          <w:rFonts w:ascii="Times New Roman" w:hAnsi="Times New Roman"/>
          <w:color w:val="000000" w:themeColor="text1"/>
          <w:sz w:val="24"/>
          <w:szCs w:val="24"/>
        </w:rPr>
        <w:t xml:space="preserve">-defined and approved standard doses. Physicians will order medications as per their current practice and approved medications will be rounded by the electronic medical record (EMR) or per protocol by pharmacy when not automatically rounded by the EMR (ex. in the event of an EMR downtime).   </w:t>
      </w:r>
    </w:p>
    <w:p w14:paraId="07646825" w14:textId="77777777" w:rsidR="00A13439" w:rsidRPr="007C154F" w:rsidRDefault="00A13439" w:rsidP="00A13439">
      <w:pPr>
        <w:spacing w:after="120" w:line="240" w:lineRule="auto"/>
        <w:ind w:left="720" w:hanging="360"/>
        <w:rPr>
          <w:rFonts w:ascii="Times New Roman" w:hAnsi="Times New Roman"/>
          <w:color w:val="000000" w:themeColor="text1"/>
          <w:sz w:val="24"/>
          <w:szCs w:val="24"/>
        </w:rPr>
      </w:pPr>
      <w:r w:rsidRPr="007C154F">
        <w:rPr>
          <w:rFonts w:ascii="Times New Roman" w:hAnsi="Times New Roman"/>
          <w:color w:val="000000"/>
          <w:sz w:val="24"/>
          <w:szCs w:val="24"/>
        </w:rPr>
        <w:t xml:space="preserve"> </w:t>
      </w:r>
    </w:p>
    <w:p w14:paraId="31FBF83B" w14:textId="77777777" w:rsidR="00A13439" w:rsidRPr="007C154F" w:rsidRDefault="00A13439" w:rsidP="00A13439">
      <w:pPr>
        <w:pStyle w:val="ListParagraph"/>
        <w:numPr>
          <w:ilvl w:val="0"/>
          <w:numId w:val="16"/>
        </w:numPr>
        <w:spacing w:after="120" w:line="240" w:lineRule="auto"/>
        <w:ind w:left="720" w:hanging="360"/>
        <w:contextualSpacing w:val="0"/>
        <w:rPr>
          <w:rFonts w:ascii="Times New Roman" w:hAnsi="Times New Roman" w:cs="Times New Roman"/>
          <w:b/>
          <w:color w:val="000000" w:themeColor="text1"/>
          <w:sz w:val="24"/>
          <w:szCs w:val="24"/>
        </w:rPr>
      </w:pPr>
      <w:r w:rsidRPr="007C154F">
        <w:rPr>
          <w:rFonts w:ascii="Times New Roman" w:hAnsi="Times New Roman" w:cs="Times New Roman"/>
          <w:b/>
          <w:color w:val="000000" w:themeColor="text1"/>
          <w:sz w:val="24"/>
          <w:szCs w:val="24"/>
        </w:rPr>
        <w:t>Procedure</w:t>
      </w:r>
    </w:p>
    <w:p w14:paraId="2A6ED064" w14:textId="77777777" w:rsidR="00A13439" w:rsidRPr="007C154F" w:rsidRDefault="00A13439" w:rsidP="00A13439">
      <w:pPr>
        <w:pStyle w:val="BodyText"/>
        <w:numPr>
          <w:ilvl w:val="1"/>
          <w:numId w:val="18"/>
        </w:numPr>
        <w:spacing w:after="240"/>
        <w:jc w:val="both"/>
        <w:rPr>
          <w:rFonts w:ascii="Times New Roman" w:hAnsi="Times New Roman"/>
          <w:sz w:val="24"/>
          <w:szCs w:val="24"/>
        </w:rPr>
      </w:pPr>
      <w:r w:rsidRPr="007C154F">
        <w:rPr>
          <w:rFonts w:ascii="Times New Roman" w:hAnsi="Times New Roman"/>
          <w:sz w:val="24"/>
          <w:szCs w:val="24"/>
        </w:rPr>
        <w:t>Provider will enter the medication order per usual practice. (Example: 50mg/kg of ceftriaxone * 17 kg = 850 mg of ceftriaxone)</w:t>
      </w:r>
    </w:p>
    <w:p w14:paraId="783D67D0" w14:textId="77777777" w:rsidR="00A13439" w:rsidRPr="007C154F" w:rsidRDefault="00A13439" w:rsidP="00A13439">
      <w:pPr>
        <w:pStyle w:val="BodyText"/>
        <w:numPr>
          <w:ilvl w:val="1"/>
          <w:numId w:val="18"/>
        </w:numPr>
        <w:spacing w:after="240"/>
        <w:jc w:val="both"/>
        <w:rPr>
          <w:rFonts w:ascii="Times New Roman" w:hAnsi="Times New Roman"/>
          <w:sz w:val="24"/>
          <w:szCs w:val="24"/>
        </w:rPr>
      </w:pPr>
      <w:r w:rsidRPr="007C154F">
        <w:rPr>
          <w:rFonts w:ascii="Times New Roman" w:hAnsi="Times New Roman"/>
          <w:sz w:val="24"/>
          <w:szCs w:val="24"/>
        </w:rPr>
        <w:t>The EMR will automatically round the medication dose in accordance with the dose rounding rules in the Appendices. (Example: Ceftriaxone 50 mg/kg/dose of 850 mg will be rounded to 1000 mg in accordance with Appendix A)</w:t>
      </w:r>
    </w:p>
    <w:p w14:paraId="66C48E72" w14:textId="77777777" w:rsidR="00A13439" w:rsidRPr="007C154F" w:rsidRDefault="00A13439" w:rsidP="00A13439">
      <w:pPr>
        <w:pStyle w:val="BodyText"/>
        <w:numPr>
          <w:ilvl w:val="2"/>
          <w:numId w:val="18"/>
        </w:numPr>
        <w:spacing w:after="240"/>
        <w:ind w:left="2430" w:hanging="450"/>
        <w:jc w:val="both"/>
        <w:rPr>
          <w:rFonts w:ascii="Times New Roman" w:hAnsi="Times New Roman"/>
          <w:sz w:val="24"/>
          <w:szCs w:val="24"/>
        </w:rPr>
      </w:pPr>
      <w:r w:rsidRPr="007C154F">
        <w:rPr>
          <w:rFonts w:ascii="Times New Roman" w:hAnsi="Times New Roman"/>
          <w:sz w:val="24"/>
          <w:szCs w:val="24"/>
        </w:rPr>
        <w:t>In the event of an EMR downtime or for doses entered that have not been rounded, the pharmacist round the dose in accordance with the listed Appendices per P&amp;T pediatric dose rounding protocol.</w:t>
      </w:r>
    </w:p>
    <w:p w14:paraId="1D999D3C" w14:textId="77777777" w:rsidR="00A13439" w:rsidRPr="007C154F" w:rsidRDefault="00A13439" w:rsidP="00A13439">
      <w:pPr>
        <w:pStyle w:val="ListParagraph"/>
        <w:numPr>
          <w:ilvl w:val="1"/>
          <w:numId w:val="18"/>
        </w:numPr>
        <w:spacing w:after="0" w:line="240" w:lineRule="auto"/>
        <w:rPr>
          <w:rFonts w:ascii="Times New Roman" w:hAnsi="Times New Roman" w:cs="Times New Roman"/>
          <w:sz w:val="24"/>
          <w:szCs w:val="24"/>
        </w:rPr>
      </w:pPr>
      <w:r w:rsidRPr="007C154F">
        <w:rPr>
          <w:rFonts w:ascii="Times New Roman" w:hAnsi="Times New Roman" w:cs="Times New Roman"/>
          <w:sz w:val="24"/>
          <w:szCs w:val="24"/>
        </w:rPr>
        <w:t>If dose rounding is determined to be clinically inappropriate by either the physician or pharmacist, both physicians and pharmacists retain the ability to use their clinical judgment to override the standardization protocol.  The physician will discuss with the pharmacist the need to utilize the exact dose. The pharmacist will enter the order at the desired dose.</w:t>
      </w:r>
    </w:p>
    <w:p w14:paraId="2931B6E7" w14:textId="77777777" w:rsidR="00A13439" w:rsidRPr="007C154F" w:rsidRDefault="00A13439" w:rsidP="00A13439">
      <w:pPr>
        <w:spacing w:after="120" w:line="240" w:lineRule="auto"/>
        <w:rPr>
          <w:rFonts w:ascii="Times New Roman" w:hAnsi="Times New Roman"/>
          <w:color w:val="000000" w:themeColor="text1"/>
          <w:sz w:val="24"/>
          <w:szCs w:val="24"/>
          <w:highlight w:val="yellow"/>
        </w:rPr>
      </w:pPr>
    </w:p>
    <w:p w14:paraId="734286EB" w14:textId="77777777" w:rsidR="00A13439" w:rsidRPr="007C154F" w:rsidRDefault="00A13439" w:rsidP="00A13439">
      <w:pPr>
        <w:pStyle w:val="Heading1"/>
        <w:numPr>
          <w:ilvl w:val="0"/>
          <w:numId w:val="16"/>
        </w:numPr>
        <w:tabs>
          <w:tab w:val="num" w:pos="284"/>
        </w:tabs>
        <w:spacing w:before="360"/>
        <w:ind w:left="284" w:firstLine="76"/>
        <w:jc w:val="both"/>
        <w:rPr>
          <w:rFonts w:ascii="Times New Roman" w:hAnsi="Times New Roman" w:cs="Times New Roman"/>
          <w:szCs w:val="24"/>
        </w:rPr>
      </w:pPr>
      <w:r w:rsidRPr="007C154F">
        <w:rPr>
          <w:rFonts w:ascii="Times New Roman" w:hAnsi="Times New Roman" w:cs="Times New Roman"/>
          <w:szCs w:val="24"/>
        </w:rPr>
        <w:t>References</w:t>
      </w:r>
    </w:p>
    <w:p w14:paraId="5A3EDEC1" w14:textId="77777777" w:rsidR="00A13439" w:rsidRPr="007C154F" w:rsidRDefault="00A13439" w:rsidP="00A13439">
      <w:pPr>
        <w:pStyle w:val="BodyText"/>
        <w:rPr>
          <w:rFonts w:ascii="Times New Roman" w:hAnsi="Times New Roman"/>
          <w:color w:val="000000"/>
          <w:sz w:val="24"/>
          <w:szCs w:val="24"/>
        </w:rPr>
      </w:pPr>
      <w:proofErr w:type="spellStart"/>
      <w:r w:rsidRPr="007C154F">
        <w:rPr>
          <w:rFonts w:ascii="Times New Roman" w:hAnsi="Times New Roman"/>
          <w:color w:val="000000"/>
          <w:sz w:val="24"/>
          <w:szCs w:val="24"/>
        </w:rPr>
        <w:t>Aseeri</w:t>
      </w:r>
      <w:proofErr w:type="spellEnd"/>
      <w:r w:rsidRPr="007C154F">
        <w:rPr>
          <w:rFonts w:ascii="Times New Roman" w:hAnsi="Times New Roman"/>
          <w:color w:val="000000"/>
          <w:sz w:val="24"/>
          <w:szCs w:val="24"/>
        </w:rPr>
        <w:t xml:space="preserve"> MA. The impact of a pediatric antibiotic standard dosing table on dosing errors. </w:t>
      </w:r>
      <w:r w:rsidRPr="007C154F">
        <w:rPr>
          <w:rFonts w:ascii="Times New Roman" w:hAnsi="Times New Roman"/>
          <w:i/>
          <w:iCs/>
          <w:color w:val="000000"/>
          <w:sz w:val="24"/>
          <w:szCs w:val="24"/>
        </w:rPr>
        <w:t xml:space="preserve">J </w:t>
      </w:r>
      <w:proofErr w:type="spellStart"/>
      <w:r w:rsidRPr="007C154F">
        <w:rPr>
          <w:rFonts w:ascii="Times New Roman" w:hAnsi="Times New Roman"/>
          <w:i/>
          <w:iCs/>
          <w:color w:val="000000"/>
          <w:sz w:val="24"/>
          <w:szCs w:val="24"/>
        </w:rPr>
        <w:t>Pediatr</w:t>
      </w:r>
      <w:proofErr w:type="spellEnd"/>
      <w:r w:rsidRPr="007C154F">
        <w:rPr>
          <w:rFonts w:ascii="Times New Roman" w:hAnsi="Times New Roman"/>
          <w:i/>
          <w:iCs/>
          <w:color w:val="000000"/>
          <w:sz w:val="24"/>
          <w:szCs w:val="24"/>
        </w:rPr>
        <w:t xml:space="preserve"> </w:t>
      </w:r>
      <w:proofErr w:type="spellStart"/>
      <w:r w:rsidRPr="007C154F">
        <w:rPr>
          <w:rFonts w:ascii="Times New Roman" w:hAnsi="Times New Roman"/>
          <w:i/>
          <w:iCs/>
          <w:color w:val="000000"/>
          <w:sz w:val="24"/>
          <w:szCs w:val="24"/>
        </w:rPr>
        <w:t>Pharmacol</w:t>
      </w:r>
      <w:proofErr w:type="spellEnd"/>
      <w:r w:rsidRPr="007C154F">
        <w:rPr>
          <w:rFonts w:ascii="Times New Roman" w:hAnsi="Times New Roman"/>
          <w:i/>
          <w:iCs/>
          <w:color w:val="000000"/>
          <w:sz w:val="24"/>
          <w:szCs w:val="24"/>
        </w:rPr>
        <w:t xml:space="preserve"> </w:t>
      </w:r>
      <w:proofErr w:type="spellStart"/>
      <w:r w:rsidRPr="007C154F">
        <w:rPr>
          <w:rFonts w:ascii="Times New Roman" w:hAnsi="Times New Roman"/>
          <w:i/>
          <w:iCs/>
          <w:color w:val="000000"/>
          <w:sz w:val="24"/>
          <w:szCs w:val="24"/>
        </w:rPr>
        <w:t>Ther</w:t>
      </w:r>
      <w:proofErr w:type="spellEnd"/>
      <w:r w:rsidRPr="007C154F">
        <w:rPr>
          <w:rFonts w:ascii="Times New Roman" w:hAnsi="Times New Roman"/>
          <w:color w:val="000000"/>
          <w:sz w:val="24"/>
          <w:szCs w:val="24"/>
        </w:rPr>
        <w:t>. 2013;18(3):220-226. doi:10.5863/1551-6776-18.3.220</w:t>
      </w:r>
    </w:p>
    <w:p w14:paraId="14F4999A" w14:textId="77777777" w:rsidR="001261A4" w:rsidRPr="007C154F" w:rsidRDefault="00A13439" w:rsidP="001261A4">
      <w:pPr>
        <w:pStyle w:val="BodyText"/>
        <w:rPr>
          <w:rFonts w:ascii="Times New Roman" w:hAnsi="Times New Roman"/>
          <w:color w:val="000000"/>
          <w:sz w:val="24"/>
          <w:szCs w:val="24"/>
        </w:rPr>
      </w:pPr>
      <w:r w:rsidRPr="007C154F">
        <w:rPr>
          <w:rFonts w:ascii="Times New Roman" w:hAnsi="Times New Roman"/>
          <w:color w:val="000000"/>
          <w:sz w:val="24"/>
          <w:szCs w:val="24"/>
        </w:rPr>
        <w:t>Jones AN, Miller JL, Neely S, et al. Prevalence of Unrounded Medication Doses and Associated Factors Among Hospitalized Pediatric Patients. </w:t>
      </w:r>
      <w:r w:rsidRPr="007C154F">
        <w:rPr>
          <w:rFonts w:ascii="Times New Roman" w:hAnsi="Times New Roman"/>
          <w:i/>
          <w:iCs/>
          <w:color w:val="000000"/>
          <w:sz w:val="24"/>
          <w:szCs w:val="24"/>
        </w:rPr>
        <w:t xml:space="preserve">J </w:t>
      </w:r>
      <w:proofErr w:type="spellStart"/>
      <w:r w:rsidRPr="007C154F">
        <w:rPr>
          <w:rFonts w:ascii="Times New Roman" w:hAnsi="Times New Roman"/>
          <w:i/>
          <w:iCs/>
          <w:color w:val="000000"/>
          <w:sz w:val="24"/>
          <w:szCs w:val="24"/>
        </w:rPr>
        <w:t>Pediatr</w:t>
      </w:r>
      <w:proofErr w:type="spellEnd"/>
      <w:r w:rsidRPr="007C154F">
        <w:rPr>
          <w:rFonts w:ascii="Times New Roman" w:hAnsi="Times New Roman"/>
          <w:i/>
          <w:iCs/>
          <w:color w:val="000000"/>
          <w:sz w:val="24"/>
          <w:szCs w:val="24"/>
        </w:rPr>
        <w:t xml:space="preserve"> </w:t>
      </w:r>
      <w:proofErr w:type="spellStart"/>
      <w:r w:rsidRPr="007C154F">
        <w:rPr>
          <w:rFonts w:ascii="Times New Roman" w:hAnsi="Times New Roman"/>
          <w:i/>
          <w:iCs/>
          <w:color w:val="000000"/>
          <w:sz w:val="24"/>
          <w:szCs w:val="24"/>
        </w:rPr>
        <w:t>Pharmacol</w:t>
      </w:r>
      <w:proofErr w:type="spellEnd"/>
      <w:r w:rsidRPr="007C154F">
        <w:rPr>
          <w:rFonts w:ascii="Times New Roman" w:hAnsi="Times New Roman"/>
          <w:i/>
          <w:iCs/>
          <w:color w:val="000000"/>
          <w:sz w:val="24"/>
          <w:szCs w:val="24"/>
        </w:rPr>
        <w:t xml:space="preserve"> </w:t>
      </w:r>
      <w:proofErr w:type="spellStart"/>
      <w:r w:rsidRPr="007C154F">
        <w:rPr>
          <w:rFonts w:ascii="Times New Roman" w:hAnsi="Times New Roman"/>
          <w:i/>
          <w:iCs/>
          <w:color w:val="000000"/>
          <w:sz w:val="24"/>
          <w:szCs w:val="24"/>
        </w:rPr>
        <w:t>Ther</w:t>
      </w:r>
      <w:proofErr w:type="spellEnd"/>
      <w:r w:rsidRPr="007C154F">
        <w:rPr>
          <w:rFonts w:ascii="Times New Roman" w:hAnsi="Times New Roman"/>
          <w:color w:val="000000"/>
          <w:sz w:val="24"/>
          <w:szCs w:val="24"/>
        </w:rPr>
        <w:t>. 2017;22(4):286-292. doi:10.5863/1551-6776-22.4.286</w:t>
      </w:r>
    </w:p>
    <w:p w14:paraId="201A550C" w14:textId="15987607" w:rsidR="00A13439" w:rsidRPr="007C154F" w:rsidRDefault="00A13439" w:rsidP="001261A4">
      <w:pPr>
        <w:pStyle w:val="BodyText"/>
        <w:rPr>
          <w:rStyle w:val="cit"/>
          <w:rFonts w:ascii="Times New Roman" w:hAnsi="Times New Roman"/>
          <w:color w:val="000000"/>
          <w:sz w:val="24"/>
          <w:szCs w:val="24"/>
        </w:rPr>
      </w:pPr>
      <w:r w:rsidRPr="007C154F">
        <w:rPr>
          <w:rStyle w:val="cit"/>
          <w:rFonts w:ascii="Times New Roman" w:hAnsi="Times New Roman"/>
          <w:color w:val="000000"/>
          <w:sz w:val="24"/>
          <w:szCs w:val="24"/>
        </w:rPr>
        <w:lastRenderedPageBreak/>
        <w:t>University of North Carolina Health. Pediatric Dose Rounding Protocol. 2016.</w:t>
      </w:r>
    </w:p>
    <w:p w14:paraId="775DAF42" w14:textId="77777777" w:rsidR="004829ED" w:rsidRPr="007C154F" w:rsidRDefault="004829ED" w:rsidP="00A13439">
      <w:pPr>
        <w:tabs>
          <w:tab w:val="left" w:pos="540"/>
          <w:tab w:val="center" w:pos="3600"/>
          <w:tab w:val="left" w:pos="4320"/>
          <w:tab w:val="center" w:pos="4680"/>
          <w:tab w:val="left" w:pos="6480"/>
          <w:tab w:val="left" w:pos="7920"/>
          <w:tab w:val="right" w:pos="9360"/>
        </w:tabs>
        <w:spacing w:after="0" w:line="240" w:lineRule="auto"/>
        <w:rPr>
          <w:rFonts w:ascii="Times New Roman" w:hAnsi="Times New Roman"/>
          <w:b/>
          <w:noProof/>
          <w:sz w:val="24"/>
          <w:szCs w:val="24"/>
          <w:lang w:val="en-US"/>
        </w:rPr>
      </w:pPr>
    </w:p>
    <w:p w14:paraId="0D9ADD86" w14:textId="24BDCAD0" w:rsidR="0061021D" w:rsidRPr="007C154F" w:rsidRDefault="00DF7969" w:rsidP="0061021D">
      <w:pPr>
        <w:tabs>
          <w:tab w:val="left" w:pos="540"/>
          <w:tab w:val="center" w:pos="3600"/>
          <w:tab w:val="left" w:pos="4320"/>
          <w:tab w:val="center" w:pos="4680"/>
          <w:tab w:val="left" w:pos="6480"/>
          <w:tab w:val="left" w:pos="7920"/>
          <w:tab w:val="right" w:pos="9360"/>
        </w:tabs>
        <w:spacing w:after="0" w:line="240" w:lineRule="auto"/>
        <w:rPr>
          <w:rFonts w:ascii="Times New Roman" w:hAnsi="Times New Roman"/>
          <w:b/>
          <w:noProof/>
          <w:sz w:val="24"/>
          <w:szCs w:val="24"/>
          <w:lang w:val="en-US"/>
        </w:rPr>
      </w:pPr>
      <w:r w:rsidRPr="007C154F">
        <w:rPr>
          <w:rFonts w:ascii="Times New Roman" w:hAnsi="Times New Roman"/>
          <w:b/>
          <w:noProof/>
          <w:sz w:val="24"/>
          <w:szCs w:val="24"/>
          <w:lang w:val="en-US"/>
        </w:rPr>
        <w:t>Ceftriaxone:</w:t>
      </w:r>
    </w:p>
    <w:p w14:paraId="3B44D15D" w14:textId="77777777" w:rsidR="00DF7969" w:rsidRPr="007C154F" w:rsidRDefault="00DF7969" w:rsidP="0061021D">
      <w:pPr>
        <w:tabs>
          <w:tab w:val="left" w:pos="540"/>
          <w:tab w:val="center" w:pos="3600"/>
          <w:tab w:val="left" w:pos="4320"/>
          <w:tab w:val="center" w:pos="4680"/>
          <w:tab w:val="left" w:pos="6480"/>
          <w:tab w:val="left" w:pos="7920"/>
          <w:tab w:val="right" w:pos="9360"/>
        </w:tabs>
        <w:spacing w:after="0" w:line="240" w:lineRule="auto"/>
        <w:rPr>
          <w:rFonts w:ascii="Times New Roman" w:hAnsi="Times New Roman"/>
          <w:b/>
          <w:noProof/>
          <w:sz w:val="24"/>
          <w:szCs w:val="24"/>
          <w:lang w:val="en-US"/>
        </w:rPr>
      </w:pPr>
    </w:p>
    <w:tbl>
      <w:tblPr>
        <w:tblpPr w:leftFromText="180" w:rightFromText="180" w:vertAnchor="text" w:horzAnchor="margin" w:tblpXSpec="center" w:tblpY="-134"/>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2600"/>
        <w:gridCol w:w="2250"/>
        <w:gridCol w:w="2790"/>
      </w:tblGrid>
      <w:tr w:rsidR="00DF7969" w:rsidRPr="007C154F" w14:paraId="3FEB3A43" w14:textId="77777777" w:rsidTr="00262CE9">
        <w:trPr>
          <w:trHeight w:val="330"/>
        </w:trPr>
        <w:tc>
          <w:tcPr>
            <w:tcW w:w="10425" w:type="dxa"/>
            <w:gridSpan w:val="4"/>
            <w:tcBorders>
              <w:top w:val="single" w:sz="12" w:space="0" w:color="auto"/>
              <w:left w:val="single" w:sz="12" w:space="0" w:color="auto"/>
              <w:bottom w:val="single" w:sz="12" w:space="0" w:color="auto"/>
              <w:right w:val="single" w:sz="12" w:space="0" w:color="auto"/>
            </w:tcBorders>
            <w:shd w:val="clear" w:color="auto" w:fill="E7E6E6" w:themeFill="background2"/>
          </w:tcPr>
          <w:p w14:paraId="2DC028D5" w14:textId="77777777" w:rsidR="00DF7969" w:rsidRPr="007C154F" w:rsidRDefault="00DF7969" w:rsidP="00262CE9">
            <w:pPr>
              <w:jc w:val="center"/>
              <w:rPr>
                <w:rFonts w:ascii="Times New Roman" w:hAnsi="Times New Roman"/>
                <w:b/>
                <w:sz w:val="24"/>
                <w:szCs w:val="24"/>
              </w:rPr>
            </w:pPr>
            <w:r w:rsidRPr="007C154F">
              <w:rPr>
                <w:rFonts w:ascii="Times New Roman" w:hAnsi="Times New Roman"/>
                <w:b/>
                <w:sz w:val="24"/>
                <w:szCs w:val="24"/>
              </w:rPr>
              <w:t xml:space="preserve">Ceftriaxone Dose Rounding </w:t>
            </w:r>
          </w:p>
        </w:tc>
      </w:tr>
      <w:tr w:rsidR="00DF7969" w:rsidRPr="007C154F" w14:paraId="0C297F7F" w14:textId="77777777" w:rsidTr="00262CE9">
        <w:tc>
          <w:tcPr>
            <w:tcW w:w="2785" w:type="dxa"/>
            <w:tcBorders>
              <w:top w:val="single" w:sz="12" w:space="0" w:color="auto"/>
              <w:left w:val="single" w:sz="12" w:space="0" w:color="auto"/>
              <w:bottom w:val="single" w:sz="12" w:space="0" w:color="auto"/>
              <w:right w:val="single" w:sz="12" w:space="0" w:color="auto"/>
            </w:tcBorders>
            <w:shd w:val="clear" w:color="auto" w:fill="auto"/>
            <w:vAlign w:val="center"/>
          </w:tcPr>
          <w:p w14:paraId="3E26EFBC" w14:textId="77777777" w:rsidR="00DF7969" w:rsidRPr="007C154F" w:rsidRDefault="00DF7969" w:rsidP="00262CE9">
            <w:pPr>
              <w:jc w:val="center"/>
              <w:rPr>
                <w:rFonts w:ascii="Times New Roman" w:hAnsi="Times New Roman"/>
                <w:b/>
                <w:sz w:val="24"/>
                <w:szCs w:val="24"/>
              </w:rPr>
            </w:pPr>
          </w:p>
        </w:tc>
        <w:tc>
          <w:tcPr>
            <w:tcW w:w="2600" w:type="dxa"/>
            <w:tcBorders>
              <w:top w:val="single" w:sz="12" w:space="0" w:color="auto"/>
              <w:left w:val="single" w:sz="12" w:space="0" w:color="auto"/>
              <w:bottom w:val="single" w:sz="12" w:space="0" w:color="auto"/>
              <w:right w:val="single" w:sz="12" w:space="0" w:color="auto"/>
            </w:tcBorders>
            <w:shd w:val="clear" w:color="auto" w:fill="auto"/>
          </w:tcPr>
          <w:p w14:paraId="76C7DF80" w14:textId="77777777" w:rsidR="00DF7969" w:rsidRPr="007C154F" w:rsidRDefault="00DF7969" w:rsidP="00262CE9">
            <w:pPr>
              <w:jc w:val="center"/>
              <w:rPr>
                <w:rFonts w:ascii="Times New Roman" w:hAnsi="Times New Roman"/>
                <w:b/>
                <w:sz w:val="24"/>
                <w:szCs w:val="24"/>
              </w:rPr>
            </w:pPr>
            <w:r w:rsidRPr="007C154F">
              <w:rPr>
                <w:rFonts w:ascii="Times New Roman" w:hAnsi="Times New Roman"/>
                <w:b/>
                <w:sz w:val="24"/>
                <w:szCs w:val="24"/>
              </w:rPr>
              <w:t>Mild-Moderate Infections and &lt; 80 kg</w:t>
            </w:r>
          </w:p>
          <w:p w14:paraId="6CD63A64" w14:textId="77777777" w:rsidR="00DF7969" w:rsidRPr="007C154F" w:rsidRDefault="00DF7969" w:rsidP="00262CE9">
            <w:pPr>
              <w:jc w:val="center"/>
              <w:rPr>
                <w:rFonts w:ascii="Times New Roman" w:hAnsi="Times New Roman"/>
                <w:b/>
                <w:sz w:val="24"/>
                <w:szCs w:val="24"/>
              </w:rPr>
            </w:pPr>
            <w:r w:rsidRPr="007C154F">
              <w:rPr>
                <w:rFonts w:ascii="Times New Roman" w:hAnsi="Times New Roman"/>
                <w:b/>
                <w:sz w:val="24"/>
                <w:szCs w:val="24"/>
              </w:rPr>
              <w:t>50 mg/kg/dose daily</w:t>
            </w:r>
          </w:p>
        </w:tc>
        <w:tc>
          <w:tcPr>
            <w:tcW w:w="2250" w:type="dxa"/>
            <w:tcBorders>
              <w:top w:val="single" w:sz="12" w:space="0" w:color="auto"/>
              <w:left w:val="single" w:sz="12" w:space="0" w:color="auto"/>
              <w:bottom w:val="single" w:sz="12" w:space="0" w:color="auto"/>
              <w:right w:val="single" w:sz="12" w:space="0" w:color="auto"/>
            </w:tcBorders>
            <w:shd w:val="clear" w:color="auto" w:fill="auto"/>
            <w:vAlign w:val="center"/>
          </w:tcPr>
          <w:p w14:paraId="718B0922" w14:textId="77777777" w:rsidR="00DF7969" w:rsidRPr="007C154F" w:rsidRDefault="00DF7969" w:rsidP="00262CE9">
            <w:pPr>
              <w:jc w:val="center"/>
              <w:rPr>
                <w:rFonts w:ascii="Times New Roman" w:hAnsi="Times New Roman"/>
                <w:b/>
                <w:sz w:val="24"/>
                <w:szCs w:val="24"/>
              </w:rPr>
            </w:pPr>
            <w:r w:rsidRPr="007C154F">
              <w:rPr>
                <w:rFonts w:ascii="Times New Roman" w:hAnsi="Times New Roman"/>
                <w:b/>
                <w:sz w:val="24"/>
                <w:szCs w:val="24"/>
              </w:rPr>
              <w:t>Mild-Moderate Infections and ≥ 80 kg</w:t>
            </w:r>
          </w:p>
        </w:tc>
        <w:tc>
          <w:tcPr>
            <w:tcW w:w="2790" w:type="dxa"/>
            <w:tcBorders>
              <w:top w:val="single" w:sz="12" w:space="0" w:color="auto"/>
              <w:left w:val="single" w:sz="12" w:space="0" w:color="auto"/>
              <w:bottom w:val="single" w:sz="12" w:space="0" w:color="auto"/>
              <w:right w:val="single" w:sz="12" w:space="0" w:color="auto"/>
            </w:tcBorders>
            <w:shd w:val="clear" w:color="auto" w:fill="auto"/>
            <w:vAlign w:val="center"/>
          </w:tcPr>
          <w:p w14:paraId="7DEA5276" w14:textId="77777777" w:rsidR="00DF7969" w:rsidRPr="007C154F" w:rsidRDefault="00DF7969" w:rsidP="00262CE9">
            <w:pPr>
              <w:jc w:val="center"/>
              <w:rPr>
                <w:rFonts w:ascii="Times New Roman" w:hAnsi="Times New Roman"/>
                <w:b/>
                <w:sz w:val="24"/>
                <w:szCs w:val="24"/>
              </w:rPr>
            </w:pPr>
            <w:r w:rsidRPr="007C154F">
              <w:rPr>
                <w:rFonts w:ascii="Times New Roman" w:hAnsi="Times New Roman"/>
                <w:b/>
                <w:sz w:val="24"/>
                <w:szCs w:val="24"/>
              </w:rPr>
              <w:t>Severe Infections</w:t>
            </w:r>
          </w:p>
          <w:p w14:paraId="216A757A" w14:textId="77777777" w:rsidR="00DF7969" w:rsidRPr="007C154F" w:rsidRDefault="00DF7969" w:rsidP="00262CE9">
            <w:pPr>
              <w:jc w:val="center"/>
              <w:rPr>
                <w:rFonts w:ascii="Times New Roman" w:hAnsi="Times New Roman"/>
                <w:b/>
                <w:sz w:val="24"/>
                <w:szCs w:val="24"/>
              </w:rPr>
            </w:pPr>
            <w:r w:rsidRPr="007C154F">
              <w:rPr>
                <w:rFonts w:ascii="Times New Roman" w:hAnsi="Times New Roman"/>
                <w:b/>
                <w:sz w:val="24"/>
                <w:szCs w:val="24"/>
              </w:rPr>
              <w:t>50 mg/kg/dose q12h</w:t>
            </w:r>
          </w:p>
        </w:tc>
      </w:tr>
      <w:tr w:rsidR="00DF7969" w:rsidRPr="007C154F" w14:paraId="6473B67E" w14:textId="77777777" w:rsidTr="00262CE9">
        <w:tc>
          <w:tcPr>
            <w:tcW w:w="2785" w:type="dxa"/>
            <w:tcBorders>
              <w:top w:val="single" w:sz="12" w:space="0" w:color="auto"/>
            </w:tcBorders>
            <w:shd w:val="clear" w:color="auto" w:fill="auto"/>
          </w:tcPr>
          <w:p w14:paraId="2F0CEB20" w14:textId="77777777" w:rsidR="00DF7969" w:rsidRPr="007C154F" w:rsidRDefault="00DF7969" w:rsidP="00262CE9">
            <w:pPr>
              <w:rPr>
                <w:rFonts w:ascii="Times New Roman" w:hAnsi="Times New Roman"/>
                <w:b/>
                <w:sz w:val="24"/>
                <w:szCs w:val="24"/>
              </w:rPr>
            </w:pPr>
            <w:r w:rsidRPr="007C154F">
              <w:rPr>
                <w:rFonts w:ascii="Times New Roman" w:hAnsi="Times New Roman"/>
                <w:b/>
                <w:sz w:val="24"/>
                <w:szCs w:val="24"/>
              </w:rPr>
              <w:t xml:space="preserve">&lt; 400 mg IV </w:t>
            </w:r>
          </w:p>
        </w:tc>
        <w:tc>
          <w:tcPr>
            <w:tcW w:w="2600" w:type="dxa"/>
            <w:tcBorders>
              <w:top w:val="single" w:sz="12" w:space="0" w:color="auto"/>
            </w:tcBorders>
            <w:shd w:val="clear" w:color="auto" w:fill="auto"/>
          </w:tcPr>
          <w:p w14:paraId="1DA5091D" w14:textId="77777777" w:rsidR="00DF7969" w:rsidRPr="007C154F" w:rsidRDefault="00DF7969" w:rsidP="00262CE9">
            <w:pPr>
              <w:jc w:val="center"/>
              <w:rPr>
                <w:rFonts w:ascii="Times New Roman" w:hAnsi="Times New Roman"/>
                <w:sz w:val="24"/>
                <w:szCs w:val="24"/>
              </w:rPr>
            </w:pPr>
            <w:r w:rsidRPr="007C154F">
              <w:rPr>
                <w:rFonts w:ascii="Times New Roman" w:hAnsi="Times New Roman"/>
                <w:sz w:val="24"/>
                <w:szCs w:val="24"/>
              </w:rPr>
              <w:t>Round to nearest 20 mg¹</w:t>
            </w:r>
          </w:p>
        </w:tc>
        <w:tc>
          <w:tcPr>
            <w:tcW w:w="2250" w:type="dxa"/>
            <w:tcBorders>
              <w:top w:val="single" w:sz="12" w:space="0" w:color="auto"/>
            </w:tcBorders>
            <w:shd w:val="clear" w:color="auto" w:fill="auto"/>
          </w:tcPr>
          <w:p w14:paraId="5F5B52E2" w14:textId="77777777" w:rsidR="00DF7969" w:rsidRPr="007C154F" w:rsidRDefault="00DF7969" w:rsidP="00262CE9">
            <w:pPr>
              <w:jc w:val="center"/>
              <w:rPr>
                <w:rFonts w:ascii="Times New Roman" w:hAnsi="Times New Roman"/>
                <w:sz w:val="24"/>
                <w:szCs w:val="24"/>
              </w:rPr>
            </w:pPr>
            <w:r w:rsidRPr="007C154F">
              <w:rPr>
                <w:rFonts w:ascii="Times New Roman" w:hAnsi="Times New Roman"/>
                <w:sz w:val="24"/>
                <w:szCs w:val="24"/>
              </w:rPr>
              <w:t>N/A</w:t>
            </w:r>
          </w:p>
        </w:tc>
        <w:tc>
          <w:tcPr>
            <w:tcW w:w="2790" w:type="dxa"/>
            <w:tcBorders>
              <w:top w:val="single" w:sz="12" w:space="0" w:color="auto"/>
            </w:tcBorders>
            <w:shd w:val="clear" w:color="auto" w:fill="auto"/>
          </w:tcPr>
          <w:p w14:paraId="4D878E87" w14:textId="77777777" w:rsidR="00DF7969" w:rsidRPr="007C154F" w:rsidRDefault="00DF7969" w:rsidP="00262CE9">
            <w:pPr>
              <w:jc w:val="center"/>
              <w:rPr>
                <w:rFonts w:ascii="Times New Roman" w:hAnsi="Times New Roman"/>
                <w:sz w:val="24"/>
                <w:szCs w:val="24"/>
              </w:rPr>
            </w:pPr>
            <w:r w:rsidRPr="007C154F">
              <w:rPr>
                <w:rFonts w:ascii="Times New Roman" w:hAnsi="Times New Roman"/>
                <w:sz w:val="24"/>
                <w:szCs w:val="24"/>
              </w:rPr>
              <w:t>Round up to nearest 20 mg¹</w:t>
            </w:r>
          </w:p>
        </w:tc>
      </w:tr>
      <w:tr w:rsidR="00DF7969" w:rsidRPr="007C154F" w14:paraId="2B75A2BB" w14:textId="77777777" w:rsidTr="00262CE9">
        <w:tc>
          <w:tcPr>
            <w:tcW w:w="2785" w:type="dxa"/>
            <w:shd w:val="clear" w:color="auto" w:fill="auto"/>
          </w:tcPr>
          <w:p w14:paraId="462CFDBA" w14:textId="77777777" w:rsidR="00DF7969" w:rsidRPr="007C154F" w:rsidRDefault="00DF7969" w:rsidP="00262CE9">
            <w:pPr>
              <w:rPr>
                <w:rFonts w:ascii="Times New Roman" w:hAnsi="Times New Roman"/>
                <w:b/>
                <w:sz w:val="24"/>
                <w:szCs w:val="24"/>
              </w:rPr>
            </w:pPr>
            <w:r w:rsidRPr="007C154F">
              <w:rPr>
                <w:rFonts w:ascii="Times New Roman" w:hAnsi="Times New Roman"/>
                <w:b/>
                <w:sz w:val="24"/>
                <w:szCs w:val="24"/>
              </w:rPr>
              <w:t>400 mg to &lt; 850 mg IV</w:t>
            </w:r>
          </w:p>
        </w:tc>
        <w:tc>
          <w:tcPr>
            <w:tcW w:w="2600" w:type="dxa"/>
            <w:shd w:val="clear" w:color="auto" w:fill="auto"/>
            <w:vAlign w:val="center"/>
          </w:tcPr>
          <w:p w14:paraId="470EAF5F" w14:textId="77777777" w:rsidR="00DF7969" w:rsidRPr="007C154F" w:rsidRDefault="00DF7969" w:rsidP="00262CE9">
            <w:pPr>
              <w:jc w:val="center"/>
              <w:rPr>
                <w:rFonts w:ascii="Times New Roman" w:hAnsi="Times New Roman"/>
                <w:sz w:val="24"/>
                <w:szCs w:val="24"/>
              </w:rPr>
            </w:pPr>
            <w:r w:rsidRPr="007C154F">
              <w:rPr>
                <w:rFonts w:ascii="Times New Roman" w:hAnsi="Times New Roman"/>
                <w:sz w:val="24"/>
                <w:szCs w:val="24"/>
              </w:rPr>
              <w:t>Round to nearest 40 mg¹</w:t>
            </w:r>
          </w:p>
        </w:tc>
        <w:tc>
          <w:tcPr>
            <w:tcW w:w="2250" w:type="dxa"/>
            <w:shd w:val="clear" w:color="auto" w:fill="auto"/>
            <w:vAlign w:val="center"/>
          </w:tcPr>
          <w:p w14:paraId="196AB172" w14:textId="77777777" w:rsidR="00DF7969" w:rsidRPr="007C154F" w:rsidRDefault="00DF7969" w:rsidP="00262CE9">
            <w:pPr>
              <w:jc w:val="center"/>
              <w:rPr>
                <w:rFonts w:ascii="Times New Roman" w:hAnsi="Times New Roman"/>
                <w:sz w:val="24"/>
                <w:szCs w:val="24"/>
              </w:rPr>
            </w:pPr>
            <w:r w:rsidRPr="007C154F">
              <w:rPr>
                <w:rFonts w:ascii="Times New Roman" w:hAnsi="Times New Roman"/>
                <w:sz w:val="24"/>
                <w:szCs w:val="24"/>
              </w:rPr>
              <w:t>N/A</w:t>
            </w:r>
          </w:p>
        </w:tc>
        <w:tc>
          <w:tcPr>
            <w:tcW w:w="2790" w:type="dxa"/>
            <w:shd w:val="clear" w:color="auto" w:fill="auto"/>
            <w:vAlign w:val="center"/>
          </w:tcPr>
          <w:p w14:paraId="2D262567" w14:textId="77777777" w:rsidR="00DF7969" w:rsidRPr="007C154F" w:rsidRDefault="00DF7969" w:rsidP="00262CE9">
            <w:pPr>
              <w:jc w:val="center"/>
              <w:rPr>
                <w:rFonts w:ascii="Times New Roman" w:hAnsi="Times New Roman"/>
                <w:sz w:val="24"/>
                <w:szCs w:val="24"/>
              </w:rPr>
            </w:pPr>
            <w:r w:rsidRPr="007C154F">
              <w:rPr>
                <w:rFonts w:ascii="Times New Roman" w:hAnsi="Times New Roman"/>
                <w:sz w:val="24"/>
                <w:szCs w:val="24"/>
              </w:rPr>
              <w:t>Round to nearest 40 mg¹</w:t>
            </w:r>
          </w:p>
        </w:tc>
      </w:tr>
      <w:tr w:rsidR="00DF7969" w:rsidRPr="007C154F" w14:paraId="60D8B8F7" w14:textId="77777777" w:rsidTr="00262CE9">
        <w:tc>
          <w:tcPr>
            <w:tcW w:w="2785" w:type="dxa"/>
            <w:shd w:val="clear" w:color="auto" w:fill="auto"/>
            <w:vAlign w:val="center"/>
          </w:tcPr>
          <w:p w14:paraId="5AF0B041" w14:textId="77777777" w:rsidR="00DF7969" w:rsidRPr="007C154F" w:rsidRDefault="00DF7969" w:rsidP="00262CE9">
            <w:pPr>
              <w:rPr>
                <w:rFonts w:ascii="Times New Roman" w:hAnsi="Times New Roman"/>
                <w:b/>
                <w:sz w:val="24"/>
                <w:szCs w:val="24"/>
              </w:rPr>
            </w:pPr>
            <w:r w:rsidRPr="007C154F">
              <w:rPr>
                <w:rFonts w:ascii="Times New Roman" w:hAnsi="Times New Roman"/>
                <w:b/>
                <w:sz w:val="24"/>
                <w:szCs w:val="24"/>
              </w:rPr>
              <w:t xml:space="preserve">&lt; 850 mg IM³ </w:t>
            </w:r>
          </w:p>
        </w:tc>
        <w:tc>
          <w:tcPr>
            <w:tcW w:w="2600" w:type="dxa"/>
            <w:shd w:val="clear" w:color="auto" w:fill="auto"/>
          </w:tcPr>
          <w:p w14:paraId="5EA6A306" w14:textId="77777777" w:rsidR="00DF7969" w:rsidRPr="007C154F" w:rsidRDefault="00DF7969" w:rsidP="00262CE9">
            <w:pPr>
              <w:jc w:val="center"/>
              <w:rPr>
                <w:rFonts w:ascii="Times New Roman" w:hAnsi="Times New Roman"/>
                <w:sz w:val="24"/>
                <w:szCs w:val="24"/>
              </w:rPr>
            </w:pPr>
            <w:r w:rsidRPr="007C154F">
              <w:rPr>
                <w:rFonts w:ascii="Times New Roman" w:hAnsi="Times New Roman"/>
                <w:sz w:val="24"/>
                <w:szCs w:val="24"/>
              </w:rPr>
              <w:t xml:space="preserve">Round up to </w:t>
            </w:r>
          </w:p>
          <w:p w14:paraId="39C90F39" w14:textId="77777777" w:rsidR="00DF7969" w:rsidRPr="007C154F" w:rsidRDefault="00DF7969" w:rsidP="00262CE9">
            <w:pPr>
              <w:jc w:val="center"/>
              <w:rPr>
                <w:rFonts w:ascii="Times New Roman" w:hAnsi="Times New Roman"/>
                <w:sz w:val="24"/>
                <w:szCs w:val="24"/>
              </w:rPr>
            </w:pPr>
            <w:r w:rsidRPr="007C154F">
              <w:rPr>
                <w:rFonts w:ascii="Times New Roman" w:hAnsi="Times New Roman"/>
                <w:sz w:val="24"/>
                <w:szCs w:val="24"/>
              </w:rPr>
              <w:t>nearest 35 mg²</w:t>
            </w:r>
          </w:p>
        </w:tc>
        <w:tc>
          <w:tcPr>
            <w:tcW w:w="2250" w:type="dxa"/>
            <w:shd w:val="clear" w:color="auto" w:fill="auto"/>
            <w:vAlign w:val="center"/>
          </w:tcPr>
          <w:p w14:paraId="7159C2B7" w14:textId="77777777" w:rsidR="00DF7969" w:rsidRPr="007C154F" w:rsidRDefault="00DF7969" w:rsidP="00262CE9">
            <w:pPr>
              <w:jc w:val="center"/>
              <w:rPr>
                <w:rFonts w:ascii="Times New Roman" w:hAnsi="Times New Roman"/>
                <w:sz w:val="24"/>
                <w:szCs w:val="24"/>
              </w:rPr>
            </w:pPr>
            <w:r w:rsidRPr="007C154F">
              <w:rPr>
                <w:rFonts w:ascii="Times New Roman" w:hAnsi="Times New Roman"/>
                <w:sz w:val="24"/>
                <w:szCs w:val="24"/>
              </w:rPr>
              <w:t>N/A</w:t>
            </w:r>
          </w:p>
        </w:tc>
        <w:tc>
          <w:tcPr>
            <w:tcW w:w="2790" w:type="dxa"/>
            <w:shd w:val="clear" w:color="auto" w:fill="auto"/>
          </w:tcPr>
          <w:p w14:paraId="1B8FCB7D" w14:textId="77777777" w:rsidR="00DF7969" w:rsidRPr="007C154F" w:rsidRDefault="00DF7969" w:rsidP="00262CE9">
            <w:pPr>
              <w:jc w:val="center"/>
              <w:rPr>
                <w:rFonts w:ascii="Times New Roman" w:hAnsi="Times New Roman"/>
                <w:sz w:val="24"/>
                <w:szCs w:val="24"/>
              </w:rPr>
            </w:pPr>
            <w:r w:rsidRPr="007C154F">
              <w:rPr>
                <w:rFonts w:ascii="Times New Roman" w:hAnsi="Times New Roman"/>
                <w:sz w:val="24"/>
                <w:szCs w:val="24"/>
              </w:rPr>
              <w:t xml:space="preserve">Round up to </w:t>
            </w:r>
          </w:p>
          <w:p w14:paraId="767E2830" w14:textId="77777777" w:rsidR="00DF7969" w:rsidRPr="007C154F" w:rsidRDefault="00DF7969" w:rsidP="00262CE9">
            <w:pPr>
              <w:jc w:val="center"/>
              <w:rPr>
                <w:rFonts w:ascii="Times New Roman" w:hAnsi="Times New Roman"/>
                <w:sz w:val="24"/>
                <w:szCs w:val="24"/>
              </w:rPr>
            </w:pPr>
            <w:r w:rsidRPr="007C154F">
              <w:rPr>
                <w:rFonts w:ascii="Times New Roman" w:hAnsi="Times New Roman"/>
                <w:sz w:val="24"/>
                <w:szCs w:val="24"/>
              </w:rPr>
              <w:t>nearest 35 mg²</w:t>
            </w:r>
          </w:p>
        </w:tc>
      </w:tr>
      <w:tr w:rsidR="00DF7969" w:rsidRPr="007C154F" w14:paraId="5E026A58" w14:textId="77777777" w:rsidTr="00262CE9">
        <w:tc>
          <w:tcPr>
            <w:tcW w:w="2785" w:type="dxa"/>
            <w:shd w:val="clear" w:color="auto" w:fill="auto"/>
          </w:tcPr>
          <w:p w14:paraId="753CBB90" w14:textId="77777777" w:rsidR="00DF7969" w:rsidRPr="007C154F" w:rsidRDefault="00DF7969" w:rsidP="00262CE9">
            <w:pPr>
              <w:rPr>
                <w:rFonts w:ascii="Times New Roman" w:hAnsi="Times New Roman"/>
                <w:b/>
                <w:sz w:val="24"/>
                <w:szCs w:val="24"/>
              </w:rPr>
            </w:pPr>
            <w:r w:rsidRPr="007C154F">
              <w:rPr>
                <w:rFonts w:ascii="Times New Roman" w:hAnsi="Times New Roman"/>
                <w:b/>
                <w:sz w:val="24"/>
                <w:szCs w:val="24"/>
              </w:rPr>
              <w:t>850 – 1100 mg) IV/IM</w:t>
            </w:r>
          </w:p>
        </w:tc>
        <w:tc>
          <w:tcPr>
            <w:tcW w:w="2600" w:type="dxa"/>
            <w:shd w:val="clear" w:color="auto" w:fill="auto"/>
            <w:vAlign w:val="center"/>
          </w:tcPr>
          <w:p w14:paraId="35F4695E" w14:textId="77777777" w:rsidR="00DF7969" w:rsidRPr="007C154F" w:rsidRDefault="00DF7969" w:rsidP="00262CE9">
            <w:pPr>
              <w:jc w:val="center"/>
              <w:rPr>
                <w:rFonts w:ascii="Times New Roman" w:hAnsi="Times New Roman"/>
                <w:sz w:val="24"/>
                <w:szCs w:val="24"/>
              </w:rPr>
            </w:pPr>
            <w:r w:rsidRPr="007C154F">
              <w:rPr>
                <w:rFonts w:ascii="Times New Roman" w:hAnsi="Times New Roman"/>
                <w:sz w:val="24"/>
                <w:szCs w:val="24"/>
              </w:rPr>
              <w:t>1000 mg</w:t>
            </w:r>
          </w:p>
        </w:tc>
        <w:tc>
          <w:tcPr>
            <w:tcW w:w="2250" w:type="dxa"/>
            <w:shd w:val="clear" w:color="auto" w:fill="auto"/>
          </w:tcPr>
          <w:p w14:paraId="7C7AFDE8" w14:textId="77777777" w:rsidR="00DF7969" w:rsidRPr="007C154F" w:rsidRDefault="00DF7969" w:rsidP="00262CE9">
            <w:pPr>
              <w:jc w:val="center"/>
              <w:rPr>
                <w:rFonts w:ascii="Times New Roman" w:hAnsi="Times New Roman"/>
                <w:sz w:val="24"/>
                <w:szCs w:val="24"/>
              </w:rPr>
            </w:pPr>
            <w:r w:rsidRPr="007C154F">
              <w:rPr>
                <w:rFonts w:ascii="Times New Roman" w:hAnsi="Times New Roman"/>
                <w:sz w:val="24"/>
                <w:szCs w:val="24"/>
              </w:rPr>
              <w:t>N/A</w:t>
            </w:r>
          </w:p>
        </w:tc>
        <w:tc>
          <w:tcPr>
            <w:tcW w:w="2790" w:type="dxa"/>
            <w:shd w:val="clear" w:color="auto" w:fill="auto"/>
            <w:vAlign w:val="center"/>
          </w:tcPr>
          <w:p w14:paraId="156BA76B" w14:textId="77777777" w:rsidR="00DF7969" w:rsidRPr="007C154F" w:rsidRDefault="00DF7969" w:rsidP="00262CE9">
            <w:pPr>
              <w:jc w:val="center"/>
              <w:rPr>
                <w:rFonts w:ascii="Times New Roman" w:hAnsi="Times New Roman"/>
                <w:sz w:val="24"/>
                <w:szCs w:val="24"/>
              </w:rPr>
            </w:pPr>
            <w:r w:rsidRPr="007C154F">
              <w:rPr>
                <w:rFonts w:ascii="Times New Roman" w:hAnsi="Times New Roman"/>
                <w:sz w:val="24"/>
                <w:szCs w:val="24"/>
              </w:rPr>
              <w:t>1000 mg</w:t>
            </w:r>
          </w:p>
        </w:tc>
      </w:tr>
      <w:tr w:rsidR="00DF7969" w:rsidRPr="007C154F" w14:paraId="50F372BB" w14:textId="77777777" w:rsidTr="00262CE9">
        <w:tc>
          <w:tcPr>
            <w:tcW w:w="2785" w:type="dxa"/>
            <w:shd w:val="clear" w:color="auto" w:fill="auto"/>
          </w:tcPr>
          <w:p w14:paraId="1DB68DD5" w14:textId="77777777" w:rsidR="00DF7969" w:rsidRPr="007C154F" w:rsidRDefault="00DF7969" w:rsidP="00262CE9">
            <w:pPr>
              <w:rPr>
                <w:rFonts w:ascii="Times New Roman" w:hAnsi="Times New Roman"/>
                <w:b/>
                <w:sz w:val="24"/>
                <w:szCs w:val="24"/>
              </w:rPr>
            </w:pPr>
            <w:r w:rsidRPr="007C154F">
              <w:rPr>
                <w:rFonts w:ascii="Times New Roman" w:hAnsi="Times New Roman"/>
                <w:b/>
                <w:sz w:val="24"/>
                <w:szCs w:val="24"/>
              </w:rPr>
              <w:t>&gt; 1100 mg IV/IM</w:t>
            </w:r>
          </w:p>
        </w:tc>
        <w:tc>
          <w:tcPr>
            <w:tcW w:w="2600" w:type="dxa"/>
            <w:shd w:val="clear" w:color="auto" w:fill="auto"/>
            <w:vAlign w:val="center"/>
          </w:tcPr>
          <w:p w14:paraId="7F6BF260" w14:textId="77777777" w:rsidR="00DF7969" w:rsidRPr="007C154F" w:rsidRDefault="00DF7969" w:rsidP="00262CE9">
            <w:pPr>
              <w:jc w:val="center"/>
              <w:rPr>
                <w:rFonts w:ascii="Times New Roman" w:hAnsi="Times New Roman"/>
                <w:sz w:val="24"/>
                <w:szCs w:val="24"/>
              </w:rPr>
            </w:pPr>
            <w:r w:rsidRPr="007C154F">
              <w:rPr>
                <w:rFonts w:ascii="Times New Roman" w:hAnsi="Times New Roman"/>
                <w:sz w:val="24"/>
                <w:szCs w:val="24"/>
              </w:rPr>
              <w:t xml:space="preserve"> 1000 mg*</w:t>
            </w:r>
          </w:p>
        </w:tc>
        <w:tc>
          <w:tcPr>
            <w:tcW w:w="2250" w:type="dxa"/>
            <w:shd w:val="clear" w:color="auto" w:fill="auto"/>
          </w:tcPr>
          <w:p w14:paraId="6B3E5072" w14:textId="77777777" w:rsidR="00DF7969" w:rsidRPr="007C154F" w:rsidRDefault="00DF7969" w:rsidP="00262CE9">
            <w:pPr>
              <w:jc w:val="center"/>
              <w:rPr>
                <w:rFonts w:ascii="Times New Roman" w:hAnsi="Times New Roman"/>
                <w:sz w:val="24"/>
                <w:szCs w:val="24"/>
              </w:rPr>
            </w:pPr>
            <w:r w:rsidRPr="007C154F">
              <w:rPr>
                <w:rFonts w:ascii="Times New Roman" w:hAnsi="Times New Roman"/>
                <w:sz w:val="24"/>
                <w:szCs w:val="24"/>
              </w:rPr>
              <w:t xml:space="preserve">    2000 mg**</w:t>
            </w:r>
          </w:p>
        </w:tc>
        <w:tc>
          <w:tcPr>
            <w:tcW w:w="2790" w:type="dxa"/>
            <w:shd w:val="clear" w:color="auto" w:fill="auto"/>
            <w:vAlign w:val="center"/>
          </w:tcPr>
          <w:p w14:paraId="50A1241E" w14:textId="77777777" w:rsidR="00DF7969" w:rsidRPr="007C154F" w:rsidRDefault="00DF7969" w:rsidP="00262CE9">
            <w:pPr>
              <w:jc w:val="center"/>
              <w:rPr>
                <w:rFonts w:ascii="Times New Roman" w:hAnsi="Times New Roman"/>
                <w:sz w:val="24"/>
                <w:szCs w:val="24"/>
              </w:rPr>
            </w:pPr>
            <w:r w:rsidRPr="007C154F">
              <w:rPr>
                <w:rFonts w:ascii="Times New Roman" w:hAnsi="Times New Roman"/>
                <w:sz w:val="24"/>
                <w:szCs w:val="24"/>
              </w:rPr>
              <w:t xml:space="preserve">    2000 mg**</w:t>
            </w:r>
          </w:p>
        </w:tc>
      </w:tr>
    </w:tbl>
    <w:p w14:paraId="093121F1" w14:textId="67346673" w:rsidR="0061021D" w:rsidRPr="007C154F" w:rsidRDefault="0061021D" w:rsidP="0061021D">
      <w:pPr>
        <w:tabs>
          <w:tab w:val="left" w:pos="540"/>
          <w:tab w:val="center" w:pos="3600"/>
          <w:tab w:val="left" w:pos="4320"/>
          <w:tab w:val="center" w:pos="4680"/>
          <w:tab w:val="left" w:pos="6480"/>
          <w:tab w:val="left" w:pos="7920"/>
          <w:tab w:val="right" w:pos="9360"/>
        </w:tabs>
        <w:spacing w:after="0" w:line="240" w:lineRule="auto"/>
        <w:rPr>
          <w:rFonts w:ascii="Times New Roman" w:hAnsi="Times New Roman"/>
          <w:bCs/>
          <w:noProof/>
          <w:sz w:val="24"/>
          <w:szCs w:val="24"/>
          <w:lang w:val="en-US"/>
        </w:rPr>
      </w:pPr>
      <w:r w:rsidRPr="007C154F">
        <w:rPr>
          <w:rFonts w:ascii="Times New Roman" w:hAnsi="Times New Roman"/>
          <w:bCs/>
          <w:noProof/>
          <w:sz w:val="24"/>
          <w:szCs w:val="24"/>
          <w:lang w:val="en-US"/>
        </w:rPr>
        <w:t>¹ IV concentration: 40 mg/mL ² IM concentration: 350 mg/mL</w:t>
      </w:r>
    </w:p>
    <w:p w14:paraId="3CEFE03C" w14:textId="77777777" w:rsidR="0061021D" w:rsidRPr="007C154F" w:rsidRDefault="0061021D" w:rsidP="0061021D">
      <w:pPr>
        <w:tabs>
          <w:tab w:val="left" w:pos="540"/>
          <w:tab w:val="center" w:pos="3600"/>
          <w:tab w:val="left" w:pos="4320"/>
          <w:tab w:val="center" w:pos="4680"/>
          <w:tab w:val="left" w:pos="6480"/>
          <w:tab w:val="left" w:pos="7920"/>
          <w:tab w:val="right" w:pos="9360"/>
        </w:tabs>
        <w:spacing w:after="0" w:line="240" w:lineRule="auto"/>
        <w:rPr>
          <w:rFonts w:ascii="Times New Roman" w:hAnsi="Times New Roman"/>
          <w:bCs/>
          <w:noProof/>
          <w:sz w:val="24"/>
          <w:szCs w:val="24"/>
          <w:lang w:val="en-US"/>
        </w:rPr>
      </w:pPr>
      <w:r w:rsidRPr="007C154F">
        <w:rPr>
          <w:rFonts w:ascii="Times New Roman" w:hAnsi="Times New Roman"/>
          <w:bCs/>
          <w:noProof/>
          <w:sz w:val="24"/>
          <w:szCs w:val="24"/>
          <w:lang w:val="en-US"/>
        </w:rPr>
        <w:t>³Dose rounding not to include IM dosing for STI treatment</w:t>
      </w:r>
    </w:p>
    <w:p w14:paraId="4A305ECA" w14:textId="77777777" w:rsidR="00DF7969" w:rsidRPr="007C154F" w:rsidRDefault="00DF7969" w:rsidP="0061021D">
      <w:pPr>
        <w:tabs>
          <w:tab w:val="left" w:pos="540"/>
          <w:tab w:val="center" w:pos="3600"/>
          <w:tab w:val="left" w:pos="4320"/>
          <w:tab w:val="center" w:pos="4680"/>
          <w:tab w:val="left" w:pos="6480"/>
          <w:tab w:val="left" w:pos="7920"/>
          <w:tab w:val="right" w:pos="9360"/>
        </w:tabs>
        <w:spacing w:after="0" w:line="240" w:lineRule="auto"/>
        <w:rPr>
          <w:rFonts w:ascii="Times New Roman" w:hAnsi="Times New Roman"/>
          <w:bCs/>
          <w:noProof/>
          <w:sz w:val="24"/>
          <w:szCs w:val="24"/>
          <w:lang w:val="en-US"/>
        </w:rPr>
      </w:pPr>
    </w:p>
    <w:p w14:paraId="597A34CA" w14:textId="77777777" w:rsidR="0061021D" w:rsidRPr="007C154F" w:rsidRDefault="0061021D" w:rsidP="0061021D">
      <w:pPr>
        <w:tabs>
          <w:tab w:val="left" w:pos="540"/>
          <w:tab w:val="center" w:pos="3600"/>
          <w:tab w:val="left" w:pos="4320"/>
          <w:tab w:val="center" w:pos="4680"/>
          <w:tab w:val="left" w:pos="6480"/>
          <w:tab w:val="left" w:pos="7920"/>
          <w:tab w:val="right" w:pos="9360"/>
        </w:tabs>
        <w:spacing w:after="0" w:line="240" w:lineRule="auto"/>
        <w:rPr>
          <w:rFonts w:ascii="Times New Roman" w:hAnsi="Times New Roman"/>
          <w:b/>
          <w:noProof/>
          <w:sz w:val="24"/>
          <w:szCs w:val="24"/>
          <w:lang w:val="en-US"/>
        </w:rPr>
      </w:pPr>
      <w:r w:rsidRPr="007C154F">
        <w:rPr>
          <w:rFonts w:ascii="Times New Roman" w:hAnsi="Times New Roman"/>
          <w:b/>
          <w:noProof/>
          <w:sz w:val="24"/>
          <w:szCs w:val="24"/>
          <w:lang w:val="en-US"/>
        </w:rPr>
        <w:t>*Indications for ceftriaxone 1000 mg dose cap:</w:t>
      </w:r>
    </w:p>
    <w:p w14:paraId="388F3E93" w14:textId="77777777" w:rsidR="00DF7969" w:rsidRPr="007C154F" w:rsidRDefault="0061021D" w:rsidP="00CC057F">
      <w:pPr>
        <w:pStyle w:val="ListParagraph"/>
        <w:numPr>
          <w:ilvl w:val="0"/>
          <w:numId w:val="14"/>
        </w:numPr>
        <w:tabs>
          <w:tab w:val="left" w:pos="540"/>
          <w:tab w:val="center" w:pos="3600"/>
          <w:tab w:val="left" w:pos="4320"/>
          <w:tab w:val="center" w:pos="4680"/>
          <w:tab w:val="left" w:pos="6480"/>
          <w:tab w:val="left" w:pos="7920"/>
          <w:tab w:val="right" w:pos="9360"/>
        </w:tabs>
        <w:spacing w:after="0" w:line="240" w:lineRule="auto"/>
        <w:rPr>
          <w:rFonts w:ascii="Times New Roman" w:hAnsi="Times New Roman" w:cs="Times New Roman"/>
          <w:bCs/>
          <w:noProof/>
          <w:sz w:val="24"/>
          <w:szCs w:val="24"/>
        </w:rPr>
      </w:pPr>
      <w:r w:rsidRPr="007C154F">
        <w:rPr>
          <w:rFonts w:ascii="Times New Roman" w:hAnsi="Times New Roman" w:cs="Times New Roman"/>
          <w:bCs/>
          <w:noProof/>
          <w:sz w:val="24"/>
          <w:szCs w:val="24"/>
        </w:rPr>
        <w:t>Cystitis any weight</w:t>
      </w:r>
    </w:p>
    <w:p w14:paraId="2506DB03" w14:textId="0D32208C" w:rsidR="0061021D" w:rsidRPr="007C154F" w:rsidRDefault="0061021D" w:rsidP="00CC057F">
      <w:pPr>
        <w:pStyle w:val="ListParagraph"/>
        <w:numPr>
          <w:ilvl w:val="0"/>
          <w:numId w:val="14"/>
        </w:numPr>
        <w:tabs>
          <w:tab w:val="left" w:pos="540"/>
          <w:tab w:val="center" w:pos="3600"/>
          <w:tab w:val="left" w:pos="4320"/>
          <w:tab w:val="center" w:pos="4680"/>
          <w:tab w:val="left" w:pos="6480"/>
          <w:tab w:val="left" w:pos="7920"/>
          <w:tab w:val="right" w:pos="9360"/>
        </w:tabs>
        <w:spacing w:after="0" w:line="240" w:lineRule="auto"/>
        <w:rPr>
          <w:rFonts w:ascii="Times New Roman" w:hAnsi="Times New Roman" w:cs="Times New Roman"/>
          <w:bCs/>
          <w:noProof/>
          <w:sz w:val="24"/>
          <w:szCs w:val="24"/>
        </w:rPr>
      </w:pPr>
      <w:r w:rsidRPr="007C154F">
        <w:rPr>
          <w:rFonts w:ascii="Times New Roman" w:hAnsi="Times New Roman" w:cs="Times New Roman"/>
          <w:bCs/>
          <w:noProof/>
          <w:sz w:val="24"/>
          <w:szCs w:val="24"/>
        </w:rPr>
        <w:t>Mild to moderate infections and &lt; 80 kg: upper respiratory infection, PNA, intra-abdominal infection, cellulitis</w:t>
      </w:r>
    </w:p>
    <w:p w14:paraId="7809E9C1" w14:textId="77777777" w:rsidR="00DF7969" w:rsidRPr="007C154F" w:rsidRDefault="00DF7969" w:rsidP="0061021D">
      <w:pPr>
        <w:tabs>
          <w:tab w:val="left" w:pos="540"/>
          <w:tab w:val="center" w:pos="3600"/>
          <w:tab w:val="left" w:pos="4320"/>
          <w:tab w:val="center" w:pos="4680"/>
          <w:tab w:val="left" w:pos="6480"/>
          <w:tab w:val="left" w:pos="7920"/>
          <w:tab w:val="right" w:pos="9360"/>
        </w:tabs>
        <w:spacing w:after="0" w:line="240" w:lineRule="auto"/>
        <w:rPr>
          <w:rFonts w:ascii="Times New Roman" w:hAnsi="Times New Roman"/>
          <w:bCs/>
          <w:noProof/>
          <w:sz w:val="24"/>
          <w:szCs w:val="24"/>
          <w:lang w:val="en-US"/>
        </w:rPr>
      </w:pPr>
    </w:p>
    <w:p w14:paraId="130CC215" w14:textId="77777777" w:rsidR="0061021D" w:rsidRPr="007C154F" w:rsidRDefault="0061021D" w:rsidP="0061021D">
      <w:pPr>
        <w:tabs>
          <w:tab w:val="left" w:pos="540"/>
          <w:tab w:val="center" w:pos="3600"/>
          <w:tab w:val="left" w:pos="4320"/>
          <w:tab w:val="center" w:pos="4680"/>
          <w:tab w:val="left" w:pos="6480"/>
          <w:tab w:val="left" w:pos="7920"/>
          <w:tab w:val="right" w:pos="9360"/>
        </w:tabs>
        <w:spacing w:after="0" w:line="240" w:lineRule="auto"/>
        <w:rPr>
          <w:rFonts w:ascii="Times New Roman" w:hAnsi="Times New Roman"/>
          <w:b/>
          <w:noProof/>
          <w:sz w:val="24"/>
          <w:szCs w:val="24"/>
          <w:lang w:val="en-US"/>
        </w:rPr>
      </w:pPr>
      <w:r w:rsidRPr="007C154F">
        <w:rPr>
          <w:rFonts w:ascii="Times New Roman" w:hAnsi="Times New Roman"/>
          <w:b/>
          <w:noProof/>
          <w:sz w:val="24"/>
          <w:szCs w:val="24"/>
          <w:lang w:val="en-US"/>
        </w:rPr>
        <w:t>**Indications for ceftriaxone 2000 mg dose cap:</w:t>
      </w:r>
    </w:p>
    <w:p w14:paraId="5B42B023" w14:textId="77777777" w:rsidR="00DF7969" w:rsidRPr="007C154F" w:rsidRDefault="0061021D" w:rsidP="0061021D">
      <w:pPr>
        <w:pStyle w:val="ListParagraph"/>
        <w:numPr>
          <w:ilvl w:val="0"/>
          <w:numId w:val="15"/>
        </w:numPr>
        <w:tabs>
          <w:tab w:val="left" w:pos="540"/>
          <w:tab w:val="center" w:pos="3600"/>
          <w:tab w:val="left" w:pos="4320"/>
          <w:tab w:val="center" w:pos="4680"/>
          <w:tab w:val="left" w:pos="6480"/>
          <w:tab w:val="left" w:pos="7920"/>
          <w:tab w:val="right" w:pos="9360"/>
        </w:tabs>
        <w:spacing w:after="0" w:line="240" w:lineRule="auto"/>
        <w:rPr>
          <w:rFonts w:ascii="Times New Roman" w:hAnsi="Times New Roman" w:cs="Times New Roman"/>
          <w:bCs/>
          <w:noProof/>
          <w:sz w:val="24"/>
          <w:szCs w:val="24"/>
        </w:rPr>
      </w:pPr>
      <w:r w:rsidRPr="007C154F">
        <w:rPr>
          <w:rFonts w:ascii="Times New Roman" w:hAnsi="Times New Roman" w:cs="Times New Roman"/>
          <w:bCs/>
          <w:noProof/>
          <w:sz w:val="24"/>
          <w:szCs w:val="24"/>
        </w:rPr>
        <w:t>Severe Infections (50 mg/kg/dose q12h): Sepsis, meningitis or other intra-cranial infection, endocarditis, endovascular infection, Salmonella, syphilis, complicated PNA, complicated intra-abdominal infection</w:t>
      </w:r>
    </w:p>
    <w:p w14:paraId="4AE3193B" w14:textId="50070023" w:rsidR="006B6377" w:rsidRPr="007C154F" w:rsidRDefault="0061021D" w:rsidP="009D756E">
      <w:pPr>
        <w:pStyle w:val="ListParagraph"/>
        <w:numPr>
          <w:ilvl w:val="0"/>
          <w:numId w:val="15"/>
        </w:numPr>
        <w:tabs>
          <w:tab w:val="left" w:pos="540"/>
          <w:tab w:val="center" w:pos="3600"/>
          <w:tab w:val="left" w:pos="4320"/>
          <w:tab w:val="center" w:pos="4680"/>
          <w:tab w:val="left" w:pos="6480"/>
          <w:tab w:val="left" w:pos="7920"/>
          <w:tab w:val="right" w:pos="9360"/>
        </w:tabs>
        <w:spacing w:after="0" w:line="240" w:lineRule="auto"/>
        <w:rPr>
          <w:rFonts w:ascii="Times New Roman" w:hAnsi="Times New Roman" w:cs="Times New Roman"/>
          <w:iCs/>
          <w:color w:val="000000"/>
          <w:sz w:val="24"/>
          <w:szCs w:val="24"/>
        </w:rPr>
      </w:pPr>
      <w:r w:rsidRPr="007C154F">
        <w:rPr>
          <w:rFonts w:ascii="Times New Roman" w:hAnsi="Times New Roman" w:cs="Times New Roman"/>
          <w:bCs/>
          <w:noProof/>
          <w:sz w:val="24"/>
          <w:szCs w:val="24"/>
        </w:rPr>
        <w:t>Non-cystitis mild to moderate infections and ≥ 80 kg</w:t>
      </w:r>
    </w:p>
    <w:p w14:paraId="659BF719" w14:textId="23652FA3" w:rsidR="00DB0B57" w:rsidRPr="007C154F" w:rsidRDefault="00DB0B57" w:rsidP="00DB0B57">
      <w:pPr>
        <w:tabs>
          <w:tab w:val="left" w:pos="540"/>
          <w:tab w:val="center" w:pos="3600"/>
          <w:tab w:val="left" w:pos="4320"/>
          <w:tab w:val="center" w:pos="4680"/>
          <w:tab w:val="left" w:pos="6480"/>
          <w:tab w:val="left" w:pos="7920"/>
          <w:tab w:val="right" w:pos="9360"/>
        </w:tabs>
        <w:spacing w:after="0" w:line="240" w:lineRule="auto"/>
        <w:rPr>
          <w:rFonts w:ascii="Times New Roman" w:hAnsi="Times New Roman"/>
          <w:iCs/>
          <w:color w:val="000000"/>
          <w:sz w:val="24"/>
          <w:szCs w:val="24"/>
        </w:rPr>
      </w:pPr>
    </w:p>
    <w:sectPr w:rsidR="00DB0B57" w:rsidRPr="007C154F" w:rsidSect="006B6377">
      <w:type w:val="continuous"/>
      <w:pgSz w:w="11906" w:h="16838" w:code="9"/>
      <w:pgMar w:top="1800" w:right="1008" w:bottom="1800" w:left="1008" w:header="720" w:footer="720"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5D4FB" w14:textId="77777777" w:rsidR="00D835B8" w:rsidRDefault="00D835B8" w:rsidP="00927301">
      <w:pPr>
        <w:spacing w:after="0" w:line="240" w:lineRule="auto"/>
      </w:pPr>
      <w:r>
        <w:separator/>
      </w:r>
    </w:p>
  </w:endnote>
  <w:endnote w:type="continuationSeparator" w:id="0">
    <w:p w14:paraId="4A862274" w14:textId="77777777" w:rsidR="00D835B8" w:rsidRDefault="00D835B8" w:rsidP="00927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67B2C" w14:textId="3564BCA0" w:rsidR="009536C0" w:rsidRPr="004D1996" w:rsidRDefault="00717D41" w:rsidP="00717D41">
    <w:pPr>
      <w:pStyle w:val="Footer"/>
      <w:tabs>
        <w:tab w:val="clear" w:pos="4513"/>
        <w:tab w:val="clear" w:pos="9026"/>
        <w:tab w:val="center" w:pos="5046"/>
        <w:tab w:val="right" w:pos="10092"/>
      </w:tabs>
      <w:rPr>
        <w:rFonts w:ascii="Times New Roman" w:hAnsi="Times New Roman"/>
        <w:sz w:val="16"/>
        <w:szCs w:val="16"/>
      </w:rPr>
    </w:pPr>
    <w:r w:rsidRPr="00A975EF">
      <w:rPr>
        <w:rFonts w:asciiTheme="minorHAnsi" w:hAnsiTheme="minorHAnsi" w:cstheme="minorHAnsi"/>
        <w:noProof/>
        <w:color w:val="4472C4" w:themeColor="accent1"/>
        <w:sz w:val="16"/>
        <w:szCs w:val="16"/>
        <w:lang w:val="en-US"/>
      </w:rPr>
      <mc:AlternateContent>
        <mc:Choice Requires="wps">
          <w:drawing>
            <wp:anchor distT="0" distB="0" distL="114300" distR="114300" simplePos="0" relativeHeight="251657728" behindDoc="0" locked="0" layoutInCell="1" allowOverlap="1" wp14:anchorId="7EC00AAC" wp14:editId="28665D73">
              <wp:simplePos x="0" y="0"/>
              <wp:positionH relativeFrom="page">
                <wp:align>center</wp:align>
              </wp:positionH>
              <wp:positionV relativeFrom="page">
                <wp:align>center</wp:align>
              </wp:positionV>
              <wp:extent cx="7364730" cy="9528810"/>
              <wp:effectExtent l="0" t="0" r="26670" b="26670"/>
              <wp:wrapNone/>
              <wp:docPr id="450" name="Rectangle 450"/>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B1C7E69" id="Rectangle 450" o:spid="_x0000_s1026" style="position:absolute;margin-left:0;margin-top:0;width:579.9pt;height:750.3pt;z-index:25165772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004D1996" w:rsidRPr="009602A7">
      <w:rPr>
        <w:rFonts w:ascii="Times New Roman" w:hAnsi="Times New Roman"/>
        <w:b/>
        <w:noProof/>
        <w:color w:val="4472C4" w:themeColor="accent1"/>
        <w:sz w:val="20"/>
        <w:szCs w:val="16"/>
        <w:lang w:val="en-US"/>
      </w:rPr>
      <mc:AlternateContent>
        <mc:Choice Requires="wps">
          <w:drawing>
            <wp:anchor distT="0" distB="0" distL="114300" distR="114300" simplePos="0" relativeHeight="251659776" behindDoc="0" locked="0" layoutInCell="1" allowOverlap="1" wp14:anchorId="0BBB0B5D" wp14:editId="21AFA14A">
              <wp:simplePos x="0" y="0"/>
              <wp:positionH relativeFrom="page">
                <wp:align>center</wp:align>
              </wp:positionH>
              <wp:positionV relativeFrom="page">
                <wp:align>center</wp:align>
              </wp:positionV>
              <wp:extent cx="7364730" cy="9528810"/>
              <wp:effectExtent l="0" t="0" r="26670" b="26670"/>
              <wp:wrapNone/>
              <wp:docPr id="6" name="Rectangle 6"/>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1D03EED" id="Rectangle 6" o:spid="_x0000_s1026" style="position:absolute;margin-left:0;margin-top:0;width:579.9pt;height:750.3pt;z-index:25165977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004D1996" w:rsidRPr="009602A7">
      <w:rPr>
        <w:rFonts w:ascii="Times New Roman" w:hAnsi="Times New Roman"/>
        <w:b/>
        <w:sz w:val="20"/>
        <w:szCs w:val="16"/>
      </w:rPr>
      <w:t>Nevada Society of Health-Systems Pharmacy</w:t>
    </w:r>
    <w:r w:rsidR="004D1996" w:rsidRPr="009602A7">
      <w:rPr>
        <w:rFonts w:ascii="Times New Roman" w:hAnsi="Times New Roman"/>
        <w:sz w:val="20"/>
        <w:szCs w:val="16"/>
      </w:rPr>
      <w:t xml:space="preserve"> - Article Submitted to the Board of Directors</w:t>
    </w:r>
    <w:r w:rsidR="005B592F">
      <w:rPr>
        <w:rFonts w:ascii="Times New Roman" w:hAnsi="Times New Roman"/>
        <w:sz w:val="20"/>
        <w:szCs w:val="16"/>
      </w:rPr>
      <w:t xml:space="preserve"> </w:t>
    </w:r>
    <w:r w:rsidR="00823265">
      <w:rPr>
        <w:rFonts w:ascii="Times New Roman" w:hAnsi="Times New Roman"/>
        <w:sz w:val="20"/>
        <w:szCs w:val="16"/>
      </w:rPr>
      <w:t xml:space="preserve">on </w:t>
    </w:r>
    <w:r w:rsidR="00D84C20" w:rsidRPr="00D84C20">
      <w:rPr>
        <w:rFonts w:ascii="Times New Roman" w:hAnsi="Times New Roman"/>
        <w:sz w:val="20"/>
        <w:szCs w:val="16"/>
      </w:rPr>
      <w:t>June 2</w:t>
    </w:r>
    <w:r w:rsidR="009B0F6B">
      <w:rPr>
        <w:rFonts w:ascii="Times New Roman" w:hAnsi="Times New Roman"/>
        <w:sz w:val="20"/>
        <w:szCs w:val="16"/>
      </w:rPr>
      <w:t>7</w:t>
    </w:r>
    <w:r w:rsidR="00823265" w:rsidRPr="00D84C20">
      <w:rPr>
        <w:rFonts w:ascii="Times New Roman" w:hAnsi="Times New Roman"/>
        <w:sz w:val="20"/>
        <w:szCs w:val="16"/>
      </w:rPr>
      <w:t>, 202</w:t>
    </w:r>
    <w:r w:rsidR="001261A4" w:rsidRPr="00D84C20">
      <w:rPr>
        <w:rFonts w:ascii="Times New Roman" w:hAnsi="Times New Roman"/>
        <w:sz w:val="20"/>
        <w:szCs w:val="16"/>
      </w:rPr>
      <w:t>3</w:t>
    </w:r>
    <w:r w:rsidR="004D1996" w:rsidRPr="009602A7">
      <w:rPr>
        <w:rFonts w:ascii="Times New Roman" w:hAnsi="Times New Roman"/>
        <w:sz w:val="20"/>
        <w:szCs w:val="16"/>
      </w:rPr>
      <w:ptab w:relativeTo="margin" w:alignment="right" w:leader="none"/>
    </w:r>
    <w:r w:rsidR="004D1996" w:rsidRPr="009602A7">
      <w:rPr>
        <w:rFonts w:ascii="Times New Roman" w:hAnsi="Times New Roman"/>
        <w:sz w:val="20"/>
        <w:szCs w:val="16"/>
      </w:rPr>
      <w:fldChar w:fldCharType="begin"/>
    </w:r>
    <w:r w:rsidR="004D1996" w:rsidRPr="009602A7">
      <w:rPr>
        <w:rFonts w:ascii="Times New Roman" w:hAnsi="Times New Roman"/>
        <w:sz w:val="20"/>
        <w:szCs w:val="16"/>
      </w:rPr>
      <w:instrText xml:space="preserve"> PAGE   \* MERGEFORMAT </w:instrText>
    </w:r>
    <w:r w:rsidR="004D1996" w:rsidRPr="009602A7">
      <w:rPr>
        <w:rFonts w:ascii="Times New Roman" w:hAnsi="Times New Roman"/>
        <w:sz w:val="20"/>
        <w:szCs w:val="16"/>
      </w:rPr>
      <w:fldChar w:fldCharType="separate"/>
    </w:r>
    <w:r w:rsidR="00B9377B">
      <w:rPr>
        <w:rFonts w:ascii="Times New Roman" w:hAnsi="Times New Roman"/>
        <w:noProof/>
        <w:sz w:val="20"/>
        <w:szCs w:val="16"/>
      </w:rPr>
      <w:t>1</w:t>
    </w:r>
    <w:r w:rsidR="004D1996" w:rsidRPr="009602A7">
      <w:rPr>
        <w:rFonts w:ascii="Times New Roman" w:hAnsi="Times New Roman"/>
        <w:noProof/>
        <w:sz w:val="20"/>
        <w:szCs w:val="16"/>
      </w:rPr>
      <w:fldChar w:fldCharType="end"/>
    </w:r>
    <w:r w:rsidRPr="00A975EF">
      <w:rPr>
        <w:rFonts w:asciiTheme="minorHAnsi" w:hAnsiTheme="minorHAnsi" w:cstheme="minorHAnsi"/>
        <w:noProof/>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FABC" w14:textId="41F3E269" w:rsidR="00F14221" w:rsidRPr="009602A7" w:rsidRDefault="00F14221" w:rsidP="00F14221">
    <w:pPr>
      <w:pStyle w:val="Footer"/>
      <w:tabs>
        <w:tab w:val="clear" w:pos="4513"/>
        <w:tab w:val="clear" w:pos="9026"/>
        <w:tab w:val="center" w:pos="5046"/>
        <w:tab w:val="right" w:pos="10092"/>
      </w:tabs>
      <w:rPr>
        <w:rFonts w:ascii="Times New Roman" w:hAnsi="Times New Roman"/>
        <w:sz w:val="16"/>
        <w:szCs w:val="16"/>
      </w:rPr>
    </w:pPr>
    <w:r w:rsidRPr="009602A7">
      <w:rPr>
        <w:rFonts w:ascii="Times New Roman" w:hAnsi="Times New Roman"/>
        <w:b/>
        <w:noProof/>
        <w:color w:val="4472C4" w:themeColor="accent1"/>
        <w:sz w:val="20"/>
        <w:szCs w:val="16"/>
        <w:lang w:val="en-US"/>
      </w:rPr>
      <mc:AlternateContent>
        <mc:Choice Requires="wps">
          <w:drawing>
            <wp:anchor distT="0" distB="0" distL="114300" distR="114300" simplePos="0" relativeHeight="251655680" behindDoc="0" locked="0" layoutInCell="1" allowOverlap="1" wp14:anchorId="727523EC" wp14:editId="12F01337">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F2BB47E" id="Rectangle 452" o:spid="_x0000_s1026" style="position:absolute;margin-left:0;margin-top:0;width:579.9pt;height:750.3pt;z-index:25165568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00A975EF" w:rsidRPr="009602A7">
      <w:rPr>
        <w:rFonts w:ascii="Times New Roman" w:hAnsi="Times New Roman"/>
        <w:b/>
        <w:sz w:val="20"/>
        <w:szCs w:val="16"/>
      </w:rPr>
      <w:t>Ne</w:t>
    </w:r>
    <w:r w:rsidR="00717D41" w:rsidRPr="009602A7">
      <w:rPr>
        <w:rFonts w:ascii="Times New Roman" w:hAnsi="Times New Roman"/>
        <w:b/>
        <w:sz w:val="20"/>
        <w:szCs w:val="16"/>
      </w:rPr>
      <w:t>vada Society of Health-Systems Pharmacy</w:t>
    </w:r>
    <w:r w:rsidR="00717D41" w:rsidRPr="009602A7">
      <w:rPr>
        <w:rFonts w:ascii="Times New Roman" w:hAnsi="Times New Roman"/>
        <w:sz w:val="20"/>
        <w:szCs w:val="16"/>
      </w:rPr>
      <w:t xml:space="preserve"> -</w:t>
    </w:r>
    <w:r w:rsidR="009602A7" w:rsidRPr="009602A7">
      <w:rPr>
        <w:rFonts w:ascii="Times New Roman" w:hAnsi="Times New Roman"/>
        <w:sz w:val="20"/>
        <w:szCs w:val="16"/>
      </w:rPr>
      <w:t xml:space="preserve"> Article Submitted to the</w:t>
    </w:r>
    <w:r w:rsidR="00B9377B">
      <w:rPr>
        <w:rFonts w:ascii="Times New Roman" w:hAnsi="Times New Roman"/>
        <w:sz w:val="20"/>
        <w:szCs w:val="16"/>
      </w:rPr>
      <w:t xml:space="preserve"> Board of Directors on </w:t>
    </w:r>
    <w:r w:rsidR="00B9377B" w:rsidRPr="001261A4">
      <w:rPr>
        <w:rFonts w:ascii="Times New Roman" w:hAnsi="Times New Roman"/>
        <w:sz w:val="20"/>
        <w:szCs w:val="16"/>
        <w:highlight w:val="yellow"/>
      </w:rPr>
      <w:t xml:space="preserve">July </w:t>
    </w:r>
    <w:r w:rsidR="001261A4" w:rsidRPr="001261A4">
      <w:rPr>
        <w:rFonts w:ascii="Times New Roman" w:hAnsi="Times New Roman"/>
        <w:sz w:val="20"/>
        <w:szCs w:val="16"/>
        <w:highlight w:val="yellow"/>
      </w:rPr>
      <w:t>xx</w:t>
    </w:r>
    <w:r w:rsidR="00B9377B" w:rsidRPr="001261A4">
      <w:rPr>
        <w:rFonts w:ascii="Times New Roman" w:hAnsi="Times New Roman"/>
        <w:sz w:val="20"/>
        <w:szCs w:val="16"/>
        <w:highlight w:val="yellow"/>
      </w:rPr>
      <w:t>, 202</w:t>
    </w:r>
    <w:r w:rsidR="001261A4" w:rsidRPr="001261A4">
      <w:rPr>
        <w:rFonts w:ascii="Times New Roman" w:hAnsi="Times New Roman"/>
        <w:sz w:val="20"/>
        <w:szCs w:val="16"/>
        <w:highlight w:val="yellow"/>
      </w:rPr>
      <w:t>3</w:t>
    </w:r>
    <w:r w:rsidR="00717D41" w:rsidRPr="009602A7">
      <w:rPr>
        <w:rFonts w:ascii="Times New Roman" w:hAnsi="Times New Roman"/>
        <w:sz w:val="20"/>
        <w:szCs w:val="16"/>
      </w:rPr>
      <w:ptab w:relativeTo="margin" w:alignment="right" w:leader="none"/>
    </w:r>
    <w:r w:rsidR="00717D41" w:rsidRPr="009602A7">
      <w:rPr>
        <w:rFonts w:ascii="Times New Roman" w:hAnsi="Times New Roman"/>
        <w:sz w:val="20"/>
        <w:szCs w:val="16"/>
      </w:rPr>
      <w:fldChar w:fldCharType="begin"/>
    </w:r>
    <w:r w:rsidR="00717D41" w:rsidRPr="009602A7">
      <w:rPr>
        <w:rFonts w:ascii="Times New Roman" w:hAnsi="Times New Roman"/>
        <w:sz w:val="20"/>
        <w:szCs w:val="16"/>
      </w:rPr>
      <w:instrText xml:space="preserve"> PAGE   \* MERGEFORMAT </w:instrText>
    </w:r>
    <w:r w:rsidR="00717D41" w:rsidRPr="009602A7">
      <w:rPr>
        <w:rFonts w:ascii="Times New Roman" w:hAnsi="Times New Roman"/>
        <w:sz w:val="20"/>
        <w:szCs w:val="16"/>
      </w:rPr>
      <w:fldChar w:fldCharType="separate"/>
    </w:r>
    <w:r w:rsidR="00B9377B">
      <w:rPr>
        <w:rFonts w:ascii="Times New Roman" w:hAnsi="Times New Roman"/>
        <w:noProof/>
        <w:sz w:val="20"/>
        <w:szCs w:val="16"/>
      </w:rPr>
      <w:t>2</w:t>
    </w:r>
    <w:r w:rsidR="00717D41" w:rsidRPr="009602A7">
      <w:rPr>
        <w:rFonts w:ascii="Times New Roman" w:hAnsi="Times New Roman"/>
        <w:noProof/>
        <w:sz w:val="20"/>
        <w:szCs w:val="16"/>
      </w:rPr>
      <w:fldChar w:fldCharType="end"/>
    </w:r>
    <w:r w:rsidR="00717D41" w:rsidRPr="009602A7">
      <w:rPr>
        <w:rFonts w:ascii="Times New Roman" w:hAnsi="Times New Roman"/>
        <w:noProo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74C16" w14:textId="77777777" w:rsidR="00D835B8" w:rsidRDefault="00D835B8" w:rsidP="00927301">
      <w:pPr>
        <w:spacing w:after="0" w:line="240" w:lineRule="auto"/>
      </w:pPr>
      <w:r>
        <w:separator/>
      </w:r>
    </w:p>
  </w:footnote>
  <w:footnote w:type="continuationSeparator" w:id="0">
    <w:p w14:paraId="6301690D" w14:textId="77777777" w:rsidR="00D835B8" w:rsidRDefault="00D835B8" w:rsidP="00927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E62CA" w14:textId="08A4E0FF" w:rsidR="00F14221" w:rsidRPr="009602A7" w:rsidRDefault="009602A7" w:rsidP="001035D9">
    <w:pPr>
      <w:pStyle w:val="IOPHeader"/>
      <w:tabs>
        <w:tab w:val="clear" w:pos="4513"/>
        <w:tab w:val="clear" w:pos="9026"/>
        <w:tab w:val="right" w:pos="10092"/>
      </w:tabs>
      <w:rPr>
        <w:rFonts w:ascii="Times New Roman" w:hAnsi="Times New Roman"/>
        <w:b/>
      </w:rPr>
    </w:pPr>
    <w:r>
      <w:rPr>
        <w:noProof/>
        <w:lang w:val="en-US"/>
      </w:rPr>
      <w:drawing>
        <wp:inline distT="0" distB="0" distL="0" distR="0" wp14:anchorId="47B39609" wp14:editId="4F8FB48E">
          <wp:extent cx="1022350" cy="454378"/>
          <wp:effectExtent l="0" t="0" r="6350" b="3175"/>
          <wp:docPr id="4" name="Picture 4" descr="https://www.nvshp.org/assets/site/nsv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vshp.org/assets/site/nsvh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854" cy="500824"/>
                  </a:xfrm>
                  <a:prstGeom prst="rect">
                    <a:avLst/>
                  </a:prstGeom>
                  <a:noFill/>
                  <a:ln>
                    <a:noFill/>
                  </a:ln>
                </pic:spPr>
              </pic:pic>
            </a:graphicData>
          </a:graphic>
        </wp:inline>
      </w:drawing>
    </w:r>
    <w:r w:rsidR="003E4E2B">
      <w:tab/>
    </w:r>
    <w:r w:rsidR="001C639B">
      <w:rPr>
        <w:rFonts w:ascii="Times New Roman" w:hAnsi="Times New Roman"/>
        <w:b/>
      </w:rPr>
      <w:t>Evaluation of a pediatric ceftriaxone dose rounding protocol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DA674" w14:textId="3D971CD1" w:rsidR="009536C0" w:rsidRPr="009602A7" w:rsidRDefault="00F14221" w:rsidP="003E4E2B">
    <w:pPr>
      <w:pStyle w:val="IOPHeader"/>
      <w:tabs>
        <w:tab w:val="clear" w:pos="4513"/>
        <w:tab w:val="clear" w:pos="9026"/>
        <w:tab w:val="right" w:pos="10092"/>
      </w:tabs>
    </w:pPr>
    <w:r>
      <w:rPr>
        <w:noProof/>
        <w:lang w:val="en-US"/>
      </w:rPr>
      <w:drawing>
        <wp:inline distT="0" distB="0" distL="0" distR="0" wp14:anchorId="64ACE1AB" wp14:editId="439E6BE6">
          <wp:extent cx="1022350" cy="454378"/>
          <wp:effectExtent l="0" t="0" r="6350" b="3175"/>
          <wp:docPr id="7" name="Picture 7" descr="https://www.nvshp.org/assets/site/nsv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vshp.org/assets/site/nsvh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854" cy="500824"/>
                  </a:xfrm>
                  <a:prstGeom prst="rect">
                    <a:avLst/>
                  </a:prstGeom>
                  <a:noFill/>
                  <a:ln>
                    <a:noFill/>
                  </a:ln>
                </pic:spPr>
              </pic:pic>
            </a:graphicData>
          </a:graphic>
        </wp:inline>
      </w:drawing>
    </w:r>
    <w:r w:rsidR="003E4E2B">
      <w:tab/>
    </w:r>
    <w:r w:rsidR="001261A4">
      <w:rPr>
        <w:rFonts w:ascii="Times New Roman" w:hAnsi="Times New Roman"/>
        <w:b/>
      </w:rPr>
      <w:t>Evaluation of a pediatric ceftriaxone dose rounding 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20D61"/>
    <w:multiLevelType w:val="multilevel"/>
    <w:tmpl w:val="ECF2AD4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1710"/>
        </w:tabs>
        <w:ind w:left="1710" w:hanging="54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15:restartNumberingAfterBreak="0">
    <w:nsid w:val="105424E9"/>
    <w:multiLevelType w:val="multilevel"/>
    <w:tmpl w:val="0C7E78EC"/>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rPr>
        <w:rFonts w:ascii="Arial" w:eastAsia="Times New Roman" w:hAnsi="Arial" w:cs="Arial"/>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25D63530"/>
    <w:multiLevelType w:val="hybridMultilevel"/>
    <w:tmpl w:val="42B8F628"/>
    <w:lvl w:ilvl="0" w:tplc="0409000F">
      <w:start w:val="1"/>
      <w:numFmt w:val="decimal"/>
      <w:pStyle w:val="IOPRefs"/>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EE7A31"/>
    <w:multiLevelType w:val="hybridMultilevel"/>
    <w:tmpl w:val="1F044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CC0D94"/>
    <w:multiLevelType w:val="hybridMultilevel"/>
    <w:tmpl w:val="3B36E6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2CF4BDB"/>
    <w:multiLevelType w:val="hybridMultilevel"/>
    <w:tmpl w:val="CCD245BE"/>
    <w:lvl w:ilvl="0" w:tplc="04090013">
      <w:start w:val="1"/>
      <w:numFmt w:val="upperRoman"/>
      <w:lvlText w:val="%1."/>
      <w:lvlJc w:val="right"/>
      <w:pPr>
        <w:ind w:left="720" w:hanging="360"/>
      </w:pPr>
    </w:lvl>
    <w:lvl w:ilvl="1" w:tplc="FCD0448C">
      <w:start w:val="1"/>
      <w:numFmt w:val="upperLetter"/>
      <w:lvlText w:val="%2."/>
      <w:lvlJc w:val="left"/>
      <w:pPr>
        <w:ind w:left="1440" w:hanging="360"/>
      </w:pPr>
      <w:rPr>
        <w:b/>
      </w:rPr>
    </w:lvl>
    <w:lvl w:ilvl="2" w:tplc="F8E64C68">
      <w:start w:val="1"/>
      <w:numFmt w:val="lowerLetter"/>
      <w:lvlText w:val="%3."/>
      <w:lvlJc w:val="left"/>
      <w:pPr>
        <w:ind w:left="2160" w:hanging="180"/>
      </w:pPr>
      <w:rPr>
        <w:rFonts w:hint="default"/>
        <w:b w:val="0"/>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E446AB"/>
    <w:multiLevelType w:val="hybridMultilevel"/>
    <w:tmpl w:val="883CF826"/>
    <w:lvl w:ilvl="0" w:tplc="A2C84EAA">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3F6D7F"/>
    <w:multiLevelType w:val="multilevel"/>
    <w:tmpl w:val="9A32EFCA"/>
    <w:lvl w:ilvl="0">
      <w:start w:val="4"/>
      <w:numFmt w:val="decimal"/>
      <w:lvlText w:val="%1.0"/>
      <w:lvlJc w:val="left"/>
      <w:pPr>
        <w:tabs>
          <w:tab w:val="num" w:pos="900"/>
        </w:tabs>
        <w:ind w:left="900" w:hanging="360"/>
      </w:pPr>
      <w:rPr>
        <w:rFonts w:hint="default"/>
        <w:b/>
      </w:rPr>
    </w:lvl>
    <w:lvl w:ilvl="1">
      <w:start w:val="1"/>
      <w:numFmt w:val="decimal"/>
      <w:lvlText w:val="%1.%2"/>
      <w:lvlJc w:val="left"/>
      <w:pPr>
        <w:tabs>
          <w:tab w:val="num" w:pos="1080"/>
        </w:tabs>
        <w:ind w:left="1080" w:hanging="360"/>
      </w:pPr>
      <w:rPr>
        <w:rFonts w:ascii="Arial" w:hAnsi="Arial" w:cs="Arial"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4B6812FF"/>
    <w:multiLevelType w:val="multilevel"/>
    <w:tmpl w:val="12A6CA0C"/>
    <w:lvl w:ilvl="0">
      <w:start w:val="6"/>
      <w:numFmt w:val="decimal"/>
      <w:lvlText w:val="%1.0"/>
      <w:lvlJc w:val="left"/>
      <w:pPr>
        <w:tabs>
          <w:tab w:val="num" w:pos="1080"/>
        </w:tabs>
        <w:ind w:left="1080" w:hanging="540"/>
      </w:pPr>
      <w:rPr>
        <w:rFonts w:hint="default"/>
      </w:rPr>
    </w:lvl>
    <w:lvl w:ilvl="1">
      <w:start w:val="1"/>
      <w:numFmt w:val="decimal"/>
      <w:lvlText w:val="%1.%2"/>
      <w:lvlJc w:val="left"/>
      <w:pPr>
        <w:tabs>
          <w:tab w:val="num" w:pos="1800"/>
        </w:tabs>
        <w:ind w:left="1800" w:hanging="540"/>
      </w:pPr>
      <w:rPr>
        <w:rFonts w:hint="default"/>
        <w:b w:val="0"/>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580"/>
        </w:tabs>
        <w:ind w:left="5580" w:hanging="144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380"/>
        </w:tabs>
        <w:ind w:left="7380" w:hanging="1800"/>
      </w:pPr>
      <w:rPr>
        <w:rFonts w:hint="default"/>
      </w:rPr>
    </w:lvl>
    <w:lvl w:ilvl="8">
      <w:start w:val="1"/>
      <w:numFmt w:val="decimal"/>
      <w:lvlText w:val="%1.%2.%3.%4.%5.%6.%7.%8.%9"/>
      <w:lvlJc w:val="left"/>
      <w:pPr>
        <w:tabs>
          <w:tab w:val="num" w:pos="8100"/>
        </w:tabs>
        <w:ind w:left="8100" w:hanging="1800"/>
      </w:pPr>
      <w:rPr>
        <w:rFonts w:hint="default"/>
      </w:rPr>
    </w:lvl>
  </w:abstractNum>
  <w:abstractNum w:abstractNumId="9" w15:restartNumberingAfterBreak="0">
    <w:nsid w:val="4B9725E0"/>
    <w:multiLevelType w:val="hybridMultilevel"/>
    <w:tmpl w:val="9CAA9C38"/>
    <w:lvl w:ilvl="0" w:tplc="A2C84EAA">
      <w:start w:val="1"/>
      <w:numFmt w:val="decimal"/>
      <w:lvlText w:val="%1."/>
      <w:lvlJc w:val="left"/>
      <w:pPr>
        <w:tabs>
          <w:tab w:val="num" w:pos="360"/>
        </w:tabs>
        <w:ind w:left="360" w:hanging="360"/>
      </w:pPr>
    </w:lvl>
    <w:lvl w:ilvl="1" w:tplc="3F842C98" w:tentative="1">
      <w:start w:val="1"/>
      <w:numFmt w:val="decimal"/>
      <w:lvlText w:val="%2."/>
      <w:lvlJc w:val="left"/>
      <w:pPr>
        <w:tabs>
          <w:tab w:val="num" w:pos="1080"/>
        </w:tabs>
        <w:ind w:left="1080" w:hanging="360"/>
      </w:pPr>
    </w:lvl>
    <w:lvl w:ilvl="2" w:tplc="4B42924C" w:tentative="1">
      <w:start w:val="1"/>
      <w:numFmt w:val="decimal"/>
      <w:lvlText w:val="%3."/>
      <w:lvlJc w:val="left"/>
      <w:pPr>
        <w:tabs>
          <w:tab w:val="num" w:pos="1800"/>
        </w:tabs>
        <w:ind w:left="1800" w:hanging="360"/>
      </w:pPr>
    </w:lvl>
    <w:lvl w:ilvl="3" w:tplc="E3E68C8A" w:tentative="1">
      <w:start w:val="1"/>
      <w:numFmt w:val="decimal"/>
      <w:lvlText w:val="%4."/>
      <w:lvlJc w:val="left"/>
      <w:pPr>
        <w:tabs>
          <w:tab w:val="num" w:pos="2520"/>
        </w:tabs>
        <w:ind w:left="2520" w:hanging="360"/>
      </w:pPr>
    </w:lvl>
    <w:lvl w:ilvl="4" w:tplc="0CD47A12" w:tentative="1">
      <w:start w:val="1"/>
      <w:numFmt w:val="decimal"/>
      <w:lvlText w:val="%5."/>
      <w:lvlJc w:val="left"/>
      <w:pPr>
        <w:tabs>
          <w:tab w:val="num" w:pos="3240"/>
        </w:tabs>
        <w:ind w:left="3240" w:hanging="360"/>
      </w:pPr>
    </w:lvl>
    <w:lvl w:ilvl="5" w:tplc="9446CD54" w:tentative="1">
      <w:start w:val="1"/>
      <w:numFmt w:val="decimal"/>
      <w:lvlText w:val="%6."/>
      <w:lvlJc w:val="left"/>
      <w:pPr>
        <w:tabs>
          <w:tab w:val="num" w:pos="3960"/>
        </w:tabs>
        <w:ind w:left="3960" w:hanging="360"/>
      </w:pPr>
    </w:lvl>
    <w:lvl w:ilvl="6" w:tplc="991EA844" w:tentative="1">
      <w:start w:val="1"/>
      <w:numFmt w:val="decimal"/>
      <w:lvlText w:val="%7."/>
      <w:lvlJc w:val="left"/>
      <w:pPr>
        <w:tabs>
          <w:tab w:val="num" w:pos="4680"/>
        </w:tabs>
        <w:ind w:left="4680" w:hanging="360"/>
      </w:pPr>
    </w:lvl>
    <w:lvl w:ilvl="7" w:tplc="E60A9F7E" w:tentative="1">
      <w:start w:val="1"/>
      <w:numFmt w:val="decimal"/>
      <w:lvlText w:val="%8."/>
      <w:lvlJc w:val="left"/>
      <w:pPr>
        <w:tabs>
          <w:tab w:val="num" w:pos="5400"/>
        </w:tabs>
        <w:ind w:left="5400" w:hanging="360"/>
      </w:pPr>
    </w:lvl>
    <w:lvl w:ilvl="8" w:tplc="0D5E2E72" w:tentative="1">
      <w:start w:val="1"/>
      <w:numFmt w:val="decimal"/>
      <w:lvlText w:val="%9."/>
      <w:lvlJc w:val="left"/>
      <w:pPr>
        <w:tabs>
          <w:tab w:val="num" w:pos="6120"/>
        </w:tabs>
        <w:ind w:left="6120" w:hanging="360"/>
      </w:pPr>
    </w:lvl>
  </w:abstractNum>
  <w:abstractNum w:abstractNumId="10" w15:restartNumberingAfterBreak="0">
    <w:nsid w:val="53E946A7"/>
    <w:multiLevelType w:val="multilevel"/>
    <w:tmpl w:val="060EB590"/>
    <w:lvl w:ilvl="0">
      <w:start w:val="1"/>
      <w:numFmt w:val="decimal"/>
      <w:lvlText w:val="%1.0"/>
      <w:lvlJc w:val="left"/>
      <w:pPr>
        <w:tabs>
          <w:tab w:val="num" w:pos="900"/>
        </w:tabs>
        <w:ind w:left="900" w:hanging="360"/>
      </w:pPr>
      <w:rPr>
        <w:rFonts w:hint="default"/>
        <w:b/>
      </w:rPr>
    </w:lvl>
    <w:lvl w:ilvl="1">
      <w:numFmt w:val="decimal"/>
      <w:lvlText w:val="%1.%2"/>
      <w:lvlJc w:val="left"/>
      <w:pPr>
        <w:tabs>
          <w:tab w:val="num" w:pos="1080"/>
        </w:tabs>
        <w:ind w:left="1080" w:hanging="360"/>
      </w:pPr>
      <w:rPr>
        <w:rFonts w:ascii="Arial" w:hAnsi="Arial" w:cs="Arial"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5A832EF2"/>
    <w:multiLevelType w:val="multilevel"/>
    <w:tmpl w:val="F4120F80"/>
    <w:lvl w:ilvl="0">
      <w:start w:val="5"/>
      <w:numFmt w:val="decimal"/>
      <w:lvlText w:val="%1.0"/>
      <w:lvlJc w:val="left"/>
      <w:pPr>
        <w:tabs>
          <w:tab w:val="num" w:pos="360"/>
        </w:tabs>
        <w:ind w:left="360" w:hanging="360"/>
      </w:pPr>
      <w:rPr>
        <w:rFonts w:hint="default"/>
      </w:rPr>
    </w:lvl>
    <w:lvl w:ilvl="1">
      <w:numFmt w:val="decimal"/>
      <w:lvlText w:val="%1.%2"/>
      <w:lvlJc w:val="left"/>
      <w:pPr>
        <w:tabs>
          <w:tab w:val="num" w:pos="1260"/>
        </w:tabs>
        <w:ind w:left="126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5B9812E2"/>
    <w:multiLevelType w:val="hybridMultilevel"/>
    <w:tmpl w:val="5D6C8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CFC020C"/>
    <w:multiLevelType w:val="hybridMultilevel"/>
    <w:tmpl w:val="8084E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CCD424C"/>
    <w:multiLevelType w:val="hybridMultilevel"/>
    <w:tmpl w:val="6AFA8706"/>
    <w:lvl w:ilvl="0" w:tplc="928EC224">
      <w:start w:val="1"/>
      <w:numFmt w:val="upperRoman"/>
      <w:lvlText w:val="%1."/>
      <w:lvlJc w:val="left"/>
      <w:pPr>
        <w:ind w:left="1080" w:hanging="720"/>
      </w:pPr>
      <w:rPr>
        <w:rFonts w:hint="default"/>
        <w:b w:val="0"/>
      </w:rPr>
    </w:lvl>
    <w:lvl w:ilvl="1" w:tplc="275E8DAC">
      <w:start w:val="1"/>
      <w:numFmt w:val="upperLetter"/>
      <w:lvlText w:val="%2."/>
      <w:lvlJc w:val="left"/>
      <w:pPr>
        <w:ind w:left="1440" w:hanging="360"/>
      </w:pPr>
      <w:rPr>
        <w:rFonts w:hint="default"/>
      </w:rPr>
    </w:lvl>
    <w:lvl w:ilvl="2" w:tplc="A68A98DC">
      <w:start w:val="1"/>
      <w:numFmt w:val="lowerRoman"/>
      <w:lvlText w:val="%3."/>
      <w:lvlJc w:val="right"/>
      <w:pPr>
        <w:ind w:left="2160" w:hanging="180"/>
      </w:pPr>
      <w:rPr>
        <w:b w:val="0"/>
        <w:i w:val="0"/>
      </w:rPr>
    </w:lvl>
    <w:lvl w:ilvl="3" w:tplc="0409000F">
      <w:start w:val="1"/>
      <w:numFmt w:val="decimal"/>
      <w:lvlText w:val="%4."/>
      <w:lvlJc w:val="left"/>
      <w:pPr>
        <w:ind w:left="297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E73E22"/>
    <w:multiLevelType w:val="hybridMultilevel"/>
    <w:tmpl w:val="891A0B8A"/>
    <w:lvl w:ilvl="0" w:tplc="38AA25C6">
      <w:start w:val="1"/>
      <w:numFmt w:val="decimal"/>
      <w:lvlText w:val="[%1]"/>
      <w:lvlJc w:val="left"/>
      <w:pPr>
        <w:tabs>
          <w:tab w:val="num" w:pos="284"/>
        </w:tabs>
        <w:ind w:left="284" w:firstLine="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55100C"/>
    <w:multiLevelType w:val="hybridMultilevel"/>
    <w:tmpl w:val="BF12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F23B52"/>
    <w:multiLevelType w:val="multilevel"/>
    <w:tmpl w:val="E3B0563A"/>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1620"/>
        </w:tabs>
        <w:ind w:left="1620" w:hanging="54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num w:numId="1" w16cid:durableId="825363136">
    <w:abstractNumId w:val="15"/>
  </w:num>
  <w:num w:numId="2" w16cid:durableId="152307524">
    <w:abstractNumId w:val="2"/>
  </w:num>
  <w:num w:numId="3" w16cid:durableId="1387143659">
    <w:abstractNumId w:val="4"/>
  </w:num>
  <w:num w:numId="4" w16cid:durableId="973678472">
    <w:abstractNumId w:val="13"/>
  </w:num>
  <w:num w:numId="5" w16cid:durableId="1689328532">
    <w:abstractNumId w:val="12"/>
  </w:num>
  <w:num w:numId="6" w16cid:durableId="848449828">
    <w:abstractNumId w:val="9"/>
  </w:num>
  <w:num w:numId="7" w16cid:durableId="1534878036">
    <w:abstractNumId w:val="10"/>
  </w:num>
  <w:num w:numId="8" w16cid:durableId="185867624">
    <w:abstractNumId w:val="0"/>
  </w:num>
  <w:num w:numId="9" w16cid:durableId="1686862872">
    <w:abstractNumId w:val="8"/>
  </w:num>
  <w:num w:numId="10" w16cid:durableId="174272396">
    <w:abstractNumId w:val="11"/>
  </w:num>
  <w:num w:numId="11" w16cid:durableId="992759018">
    <w:abstractNumId w:val="17"/>
  </w:num>
  <w:num w:numId="12" w16cid:durableId="812254112">
    <w:abstractNumId w:val="7"/>
  </w:num>
  <w:num w:numId="13" w16cid:durableId="533350430">
    <w:abstractNumId w:val="6"/>
  </w:num>
  <w:num w:numId="14" w16cid:durableId="1909878655">
    <w:abstractNumId w:val="3"/>
  </w:num>
  <w:num w:numId="15" w16cid:durableId="680351545">
    <w:abstractNumId w:val="16"/>
  </w:num>
  <w:num w:numId="16" w16cid:durableId="1307933804">
    <w:abstractNumId w:val="14"/>
  </w:num>
  <w:num w:numId="17" w16cid:durableId="56173436">
    <w:abstractNumId w:val="1"/>
  </w:num>
  <w:num w:numId="18" w16cid:durableId="3457902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AD1"/>
    <w:rsid w:val="00006ED5"/>
    <w:rsid w:val="00007341"/>
    <w:rsid w:val="00007E3B"/>
    <w:rsid w:val="00011417"/>
    <w:rsid w:val="00013CD5"/>
    <w:rsid w:val="00015E6D"/>
    <w:rsid w:val="0002244D"/>
    <w:rsid w:val="00025E5E"/>
    <w:rsid w:val="000301B2"/>
    <w:rsid w:val="000357D5"/>
    <w:rsid w:val="0004113D"/>
    <w:rsid w:val="000422B3"/>
    <w:rsid w:val="000456AC"/>
    <w:rsid w:val="00046A7C"/>
    <w:rsid w:val="00047DE2"/>
    <w:rsid w:val="00050A4A"/>
    <w:rsid w:val="00051C20"/>
    <w:rsid w:val="000671C4"/>
    <w:rsid w:val="00073620"/>
    <w:rsid w:val="00082E12"/>
    <w:rsid w:val="00090614"/>
    <w:rsid w:val="0009383A"/>
    <w:rsid w:val="00093BF1"/>
    <w:rsid w:val="000969A5"/>
    <w:rsid w:val="0009752F"/>
    <w:rsid w:val="000A206D"/>
    <w:rsid w:val="000A2FA7"/>
    <w:rsid w:val="000A33FC"/>
    <w:rsid w:val="000A4A2B"/>
    <w:rsid w:val="000A7723"/>
    <w:rsid w:val="000B0BA2"/>
    <w:rsid w:val="000B2B7E"/>
    <w:rsid w:val="000C05AB"/>
    <w:rsid w:val="000C132F"/>
    <w:rsid w:val="000C5C2A"/>
    <w:rsid w:val="000C6AD1"/>
    <w:rsid w:val="000C7B29"/>
    <w:rsid w:val="000D6687"/>
    <w:rsid w:val="000E06FD"/>
    <w:rsid w:val="000E1913"/>
    <w:rsid w:val="000E312E"/>
    <w:rsid w:val="000F2F5F"/>
    <w:rsid w:val="000F6B43"/>
    <w:rsid w:val="00100934"/>
    <w:rsid w:val="00101039"/>
    <w:rsid w:val="00102BBD"/>
    <w:rsid w:val="001035D9"/>
    <w:rsid w:val="00103FD8"/>
    <w:rsid w:val="0010406C"/>
    <w:rsid w:val="001058DA"/>
    <w:rsid w:val="00105DF1"/>
    <w:rsid w:val="00107B96"/>
    <w:rsid w:val="001103AB"/>
    <w:rsid w:val="0011288D"/>
    <w:rsid w:val="0011394D"/>
    <w:rsid w:val="00115C2D"/>
    <w:rsid w:val="001166C4"/>
    <w:rsid w:val="001261A4"/>
    <w:rsid w:val="0013106B"/>
    <w:rsid w:val="00137913"/>
    <w:rsid w:val="001415B6"/>
    <w:rsid w:val="00144F5B"/>
    <w:rsid w:val="00145789"/>
    <w:rsid w:val="00145CE7"/>
    <w:rsid w:val="00145D06"/>
    <w:rsid w:val="00147E4D"/>
    <w:rsid w:val="00151184"/>
    <w:rsid w:val="00151875"/>
    <w:rsid w:val="00154AE3"/>
    <w:rsid w:val="00155B02"/>
    <w:rsid w:val="00164FFA"/>
    <w:rsid w:val="00166B3E"/>
    <w:rsid w:val="00167E71"/>
    <w:rsid w:val="00171230"/>
    <w:rsid w:val="001803C2"/>
    <w:rsid w:val="0018090E"/>
    <w:rsid w:val="001817FE"/>
    <w:rsid w:val="00183E20"/>
    <w:rsid w:val="001846C4"/>
    <w:rsid w:val="001943DF"/>
    <w:rsid w:val="001A2563"/>
    <w:rsid w:val="001A5BF2"/>
    <w:rsid w:val="001B0173"/>
    <w:rsid w:val="001B341B"/>
    <w:rsid w:val="001B5DE1"/>
    <w:rsid w:val="001B7EA0"/>
    <w:rsid w:val="001C11A5"/>
    <w:rsid w:val="001C3186"/>
    <w:rsid w:val="001C4341"/>
    <w:rsid w:val="001C639B"/>
    <w:rsid w:val="001D0FB8"/>
    <w:rsid w:val="001D65AA"/>
    <w:rsid w:val="001E1C3E"/>
    <w:rsid w:val="001E495D"/>
    <w:rsid w:val="0020000A"/>
    <w:rsid w:val="00207972"/>
    <w:rsid w:val="00210CA7"/>
    <w:rsid w:val="002149D1"/>
    <w:rsid w:val="00217F82"/>
    <w:rsid w:val="00220466"/>
    <w:rsid w:val="00225F31"/>
    <w:rsid w:val="00227C2A"/>
    <w:rsid w:val="002301B3"/>
    <w:rsid w:val="002311A0"/>
    <w:rsid w:val="00244C14"/>
    <w:rsid w:val="002534A8"/>
    <w:rsid w:val="00256560"/>
    <w:rsid w:val="002643A3"/>
    <w:rsid w:val="002648A9"/>
    <w:rsid w:val="00266052"/>
    <w:rsid w:val="002662EB"/>
    <w:rsid w:val="002757CE"/>
    <w:rsid w:val="00275970"/>
    <w:rsid w:val="0027793D"/>
    <w:rsid w:val="00286C55"/>
    <w:rsid w:val="00290D79"/>
    <w:rsid w:val="00293AEC"/>
    <w:rsid w:val="00296257"/>
    <w:rsid w:val="002A392B"/>
    <w:rsid w:val="002A7BED"/>
    <w:rsid w:val="002A7F6D"/>
    <w:rsid w:val="002B138B"/>
    <w:rsid w:val="002B23F2"/>
    <w:rsid w:val="002B7773"/>
    <w:rsid w:val="002C56FD"/>
    <w:rsid w:val="002D448C"/>
    <w:rsid w:val="002D7C37"/>
    <w:rsid w:val="002F2E62"/>
    <w:rsid w:val="002F4305"/>
    <w:rsid w:val="00305A78"/>
    <w:rsid w:val="003103F6"/>
    <w:rsid w:val="003149A2"/>
    <w:rsid w:val="00322803"/>
    <w:rsid w:val="00325002"/>
    <w:rsid w:val="00326AE9"/>
    <w:rsid w:val="00337E77"/>
    <w:rsid w:val="00344702"/>
    <w:rsid w:val="00356806"/>
    <w:rsid w:val="00360C87"/>
    <w:rsid w:val="0036143D"/>
    <w:rsid w:val="00365FC2"/>
    <w:rsid w:val="00370371"/>
    <w:rsid w:val="003706C0"/>
    <w:rsid w:val="00370C12"/>
    <w:rsid w:val="003723F1"/>
    <w:rsid w:val="00376443"/>
    <w:rsid w:val="0038439F"/>
    <w:rsid w:val="00396087"/>
    <w:rsid w:val="003A122B"/>
    <w:rsid w:val="003A5833"/>
    <w:rsid w:val="003A6A51"/>
    <w:rsid w:val="003B18D3"/>
    <w:rsid w:val="003D160A"/>
    <w:rsid w:val="003D4B9A"/>
    <w:rsid w:val="003E0A33"/>
    <w:rsid w:val="003E4E2B"/>
    <w:rsid w:val="003E5B4D"/>
    <w:rsid w:val="003E5BD6"/>
    <w:rsid w:val="003E6FD7"/>
    <w:rsid w:val="003E7EB3"/>
    <w:rsid w:val="003F00B3"/>
    <w:rsid w:val="003F5ECE"/>
    <w:rsid w:val="003F6913"/>
    <w:rsid w:val="003F72DD"/>
    <w:rsid w:val="0041330F"/>
    <w:rsid w:val="00414FA4"/>
    <w:rsid w:val="00415902"/>
    <w:rsid w:val="00421CA3"/>
    <w:rsid w:val="0043171A"/>
    <w:rsid w:val="0043733A"/>
    <w:rsid w:val="00437E1C"/>
    <w:rsid w:val="0044346F"/>
    <w:rsid w:val="004459BF"/>
    <w:rsid w:val="00446EAC"/>
    <w:rsid w:val="00447A08"/>
    <w:rsid w:val="004525B1"/>
    <w:rsid w:val="004547A7"/>
    <w:rsid w:val="00462356"/>
    <w:rsid w:val="00475C93"/>
    <w:rsid w:val="004829ED"/>
    <w:rsid w:val="00485107"/>
    <w:rsid w:val="00490E14"/>
    <w:rsid w:val="00496360"/>
    <w:rsid w:val="004A0458"/>
    <w:rsid w:val="004A0BE2"/>
    <w:rsid w:val="004A2A08"/>
    <w:rsid w:val="004A3755"/>
    <w:rsid w:val="004A47B2"/>
    <w:rsid w:val="004A75B0"/>
    <w:rsid w:val="004A7D01"/>
    <w:rsid w:val="004B0DD9"/>
    <w:rsid w:val="004B622E"/>
    <w:rsid w:val="004B76CF"/>
    <w:rsid w:val="004C1DED"/>
    <w:rsid w:val="004C2512"/>
    <w:rsid w:val="004C27A7"/>
    <w:rsid w:val="004C2E28"/>
    <w:rsid w:val="004C3405"/>
    <w:rsid w:val="004C34A6"/>
    <w:rsid w:val="004C3B4F"/>
    <w:rsid w:val="004C7721"/>
    <w:rsid w:val="004D01DA"/>
    <w:rsid w:val="004D1996"/>
    <w:rsid w:val="004D27D2"/>
    <w:rsid w:val="004D2C0F"/>
    <w:rsid w:val="004D2DF9"/>
    <w:rsid w:val="004D2E4E"/>
    <w:rsid w:val="004D6093"/>
    <w:rsid w:val="004D612D"/>
    <w:rsid w:val="004E11FB"/>
    <w:rsid w:val="004E2F0F"/>
    <w:rsid w:val="004E3CB6"/>
    <w:rsid w:val="004E4EEA"/>
    <w:rsid w:val="004E507E"/>
    <w:rsid w:val="004F18CF"/>
    <w:rsid w:val="004F1C46"/>
    <w:rsid w:val="004F2D8B"/>
    <w:rsid w:val="004F6AEE"/>
    <w:rsid w:val="004F7B8E"/>
    <w:rsid w:val="0050125F"/>
    <w:rsid w:val="00503984"/>
    <w:rsid w:val="00516D07"/>
    <w:rsid w:val="005223F4"/>
    <w:rsid w:val="00522588"/>
    <w:rsid w:val="00525951"/>
    <w:rsid w:val="00526DCF"/>
    <w:rsid w:val="005315B5"/>
    <w:rsid w:val="0053269E"/>
    <w:rsid w:val="00532ECC"/>
    <w:rsid w:val="005407B1"/>
    <w:rsid w:val="00543282"/>
    <w:rsid w:val="005474F0"/>
    <w:rsid w:val="0055274C"/>
    <w:rsid w:val="00560395"/>
    <w:rsid w:val="00563B64"/>
    <w:rsid w:val="00570281"/>
    <w:rsid w:val="00575AA7"/>
    <w:rsid w:val="005764A0"/>
    <w:rsid w:val="005778C0"/>
    <w:rsid w:val="00584ECB"/>
    <w:rsid w:val="00590F56"/>
    <w:rsid w:val="00591759"/>
    <w:rsid w:val="005946A9"/>
    <w:rsid w:val="00597F4E"/>
    <w:rsid w:val="005A0B0E"/>
    <w:rsid w:val="005A2496"/>
    <w:rsid w:val="005A35D1"/>
    <w:rsid w:val="005B592F"/>
    <w:rsid w:val="005B5D1B"/>
    <w:rsid w:val="005C5C69"/>
    <w:rsid w:val="005C6C2E"/>
    <w:rsid w:val="005C7D3E"/>
    <w:rsid w:val="005D0079"/>
    <w:rsid w:val="005D5D55"/>
    <w:rsid w:val="005D7E8B"/>
    <w:rsid w:val="005E0D96"/>
    <w:rsid w:val="005F0BB9"/>
    <w:rsid w:val="005F0DEF"/>
    <w:rsid w:val="005F1A3D"/>
    <w:rsid w:val="005F2A34"/>
    <w:rsid w:val="005F5AF7"/>
    <w:rsid w:val="0061021D"/>
    <w:rsid w:val="00611042"/>
    <w:rsid w:val="0061238A"/>
    <w:rsid w:val="00612DD3"/>
    <w:rsid w:val="00614AF0"/>
    <w:rsid w:val="00621C32"/>
    <w:rsid w:val="006228A2"/>
    <w:rsid w:val="0062386E"/>
    <w:rsid w:val="00623EED"/>
    <w:rsid w:val="006273A3"/>
    <w:rsid w:val="006340A3"/>
    <w:rsid w:val="00634498"/>
    <w:rsid w:val="006368BF"/>
    <w:rsid w:val="00636BC0"/>
    <w:rsid w:val="00646B07"/>
    <w:rsid w:val="00650F83"/>
    <w:rsid w:val="006524DB"/>
    <w:rsid w:val="00653D32"/>
    <w:rsid w:val="00654D1E"/>
    <w:rsid w:val="006555CD"/>
    <w:rsid w:val="00667054"/>
    <w:rsid w:val="00667927"/>
    <w:rsid w:val="00674CAC"/>
    <w:rsid w:val="00676BD6"/>
    <w:rsid w:val="00685276"/>
    <w:rsid w:val="006902C7"/>
    <w:rsid w:val="006944C4"/>
    <w:rsid w:val="00697503"/>
    <w:rsid w:val="006A121C"/>
    <w:rsid w:val="006A476B"/>
    <w:rsid w:val="006B0A1E"/>
    <w:rsid w:val="006B6377"/>
    <w:rsid w:val="006C4BB5"/>
    <w:rsid w:val="006C690A"/>
    <w:rsid w:val="006D6D35"/>
    <w:rsid w:val="006E3EBD"/>
    <w:rsid w:val="006E41E5"/>
    <w:rsid w:val="006F668A"/>
    <w:rsid w:val="007003FD"/>
    <w:rsid w:val="0070401A"/>
    <w:rsid w:val="00705E22"/>
    <w:rsid w:val="0070618E"/>
    <w:rsid w:val="00711678"/>
    <w:rsid w:val="00712762"/>
    <w:rsid w:val="00713140"/>
    <w:rsid w:val="00713247"/>
    <w:rsid w:val="00717D41"/>
    <w:rsid w:val="00723E65"/>
    <w:rsid w:val="007245F9"/>
    <w:rsid w:val="00725D44"/>
    <w:rsid w:val="007313EA"/>
    <w:rsid w:val="00731A88"/>
    <w:rsid w:val="00733A7B"/>
    <w:rsid w:val="0073435F"/>
    <w:rsid w:val="0073657B"/>
    <w:rsid w:val="00736A00"/>
    <w:rsid w:val="0073742E"/>
    <w:rsid w:val="00742719"/>
    <w:rsid w:val="00745C5E"/>
    <w:rsid w:val="00763639"/>
    <w:rsid w:val="0077072E"/>
    <w:rsid w:val="007721C7"/>
    <w:rsid w:val="007722DD"/>
    <w:rsid w:val="00776338"/>
    <w:rsid w:val="007803C3"/>
    <w:rsid w:val="00783F45"/>
    <w:rsid w:val="00794312"/>
    <w:rsid w:val="00795FA7"/>
    <w:rsid w:val="00796243"/>
    <w:rsid w:val="007A008C"/>
    <w:rsid w:val="007A316E"/>
    <w:rsid w:val="007A3A20"/>
    <w:rsid w:val="007A546E"/>
    <w:rsid w:val="007A7A97"/>
    <w:rsid w:val="007B7182"/>
    <w:rsid w:val="007C154F"/>
    <w:rsid w:val="007C26D0"/>
    <w:rsid w:val="007C5244"/>
    <w:rsid w:val="007D0588"/>
    <w:rsid w:val="007D2937"/>
    <w:rsid w:val="007E2E98"/>
    <w:rsid w:val="007E5F4B"/>
    <w:rsid w:val="007F17C3"/>
    <w:rsid w:val="007F769E"/>
    <w:rsid w:val="00807EC3"/>
    <w:rsid w:val="0081055A"/>
    <w:rsid w:val="00811A46"/>
    <w:rsid w:val="00813DA5"/>
    <w:rsid w:val="008158B4"/>
    <w:rsid w:val="00823265"/>
    <w:rsid w:val="00824DD1"/>
    <w:rsid w:val="0083078A"/>
    <w:rsid w:val="00833234"/>
    <w:rsid w:val="00835CDE"/>
    <w:rsid w:val="00835EA7"/>
    <w:rsid w:val="00837792"/>
    <w:rsid w:val="00841388"/>
    <w:rsid w:val="00842B2B"/>
    <w:rsid w:val="00843DE0"/>
    <w:rsid w:val="00847173"/>
    <w:rsid w:val="008537CA"/>
    <w:rsid w:val="00865D66"/>
    <w:rsid w:val="008700AA"/>
    <w:rsid w:val="00872C7A"/>
    <w:rsid w:val="00873D13"/>
    <w:rsid w:val="0087550C"/>
    <w:rsid w:val="00875FB3"/>
    <w:rsid w:val="00877196"/>
    <w:rsid w:val="00877314"/>
    <w:rsid w:val="00882AE6"/>
    <w:rsid w:val="00882D44"/>
    <w:rsid w:val="00882DD5"/>
    <w:rsid w:val="0088495C"/>
    <w:rsid w:val="00886AF4"/>
    <w:rsid w:val="00894AF3"/>
    <w:rsid w:val="00896B3E"/>
    <w:rsid w:val="008A35E2"/>
    <w:rsid w:val="008B6172"/>
    <w:rsid w:val="008C0C83"/>
    <w:rsid w:val="008C2045"/>
    <w:rsid w:val="008C4865"/>
    <w:rsid w:val="008C7E57"/>
    <w:rsid w:val="008D2069"/>
    <w:rsid w:val="008D59E9"/>
    <w:rsid w:val="008E71E6"/>
    <w:rsid w:val="008F14E7"/>
    <w:rsid w:val="008F73E0"/>
    <w:rsid w:val="008F77E5"/>
    <w:rsid w:val="0090017A"/>
    <w:rsid w:val="00903A7E"/>
    <w:rsid w:val="00905E49"/>
    <w:rsid w:val="0090660F"/>
    <w:rsid w:val="00912DF6"/>
    <w:rsid w:val="009136FD"/>
    <w:rsid w:val="00913755"/>
    <w:rsid w:val="0091472D"/>
    <w:rsid w:val="009148F9"/>
    <w:rsid w:val="00920A4F"/>
    <w:rsid w:val="00923753"/>
    <w:rsid w:val="00923CF2"/>
    <w:rsid w:val="009263D1"/>
    <w:rsid w:val="00927301"/>
    <w:rsid w:val="00932BA1"/>
    <w:rsid w:val="0094080B"/>
    <w:rsid w:val="009410D0"/>
    <w:rsid w:val="00941B63"/>
    <w:rsid w:val="009536C0"/>
    <w:rsid w:val="00957F9F"/>
    <w:rsid w:val="009602A7"/>
    <w:rsid w:val="0096506F"/>
    <w:rsid w:val="00970DC9"/>
    <w:rsid w:val="00971293"/>
    <w:rsid w:val="00975DCC"/>
    <w:rsid w:val="00976E31"/>
    <w:rsid w:val="00982368"/>
    <w:rsid w:val="00985703"/>
    <w:rsid w:val="009936AC"/>
    <w:rsid w:val="0099704C"/>
    <w:rsid w:val="009A6A7A"/>
    <w:rsid w:val="009B0F6B"/>
    <w:rsid w:val="009B309E"/>
    <w:rsid w:val="009B6CA4"/>
    <w:rsid w:val="009C05C9"/>
    <w:rsid w:val="009C3BBE"/>
    <w:rsid w:val="009C44C9"/>
    <w:rsid w:val="009C7252"/>
    <w:rsid w:val="009E1B97"/>
    <w:rsid w:val="009E37C6"/>
    <w:rsid w:val="009E4A88"/>
    <w:rsid w:val="009F1EED"/>
    <w:rsid w:val="009F2728"/>
    <w:rsid w:val="009F4EFA"/>
    <w:rsid w:val="00A02184"/>
    <w:rsid w:val="00A028A2"/>
    <w:rsid w:val="00A13439"/>
    <w:rsid w:val="00A1575C"/>
    <w:rsid w:val="00A163C5"/>
    <w:rsid w:val="00A207DB"/>
    <w:rsid w:val="00A20B26"/>
    <w:rsid w:val="00A21CD3"/>
    <w:rsid w:val="00A220AD"/>
    <w:rsid w:val="00A23482"/>
    <w:rsid w:val="00A236FE"/>
    <w:rsid w:val="00A2380F"/>
    <w:rsid w:val="00A305E3"/>
    <w:rsid w:val="00A34A4A"/>
    <w:rsid w:val="00A378CA"/>
    <w:rsid w:val="00A37D81"/>
    <w:rsid w:val="00A40AFB"/>
    <w:rsid w:val="00A42E3F"/>
    <w:rsid w:val="00A46243"/>
    <w:rsid w:val="00A51F72"/>
    <w:rsid w:val="00A572AF"/>
    <w:rsid w:val="00A65F30"/>
    <w:rsid w:val="00A70409"/>
    <w:rsid w:val="00A724C1"/>
    <w:rsid w:val="00A829F5"/>
    <w:rsid w:val="00A8366C"/>
    <w:rsid w:val="00A83CB1"/>
    <w:rsid w:val="00A9002E"/>
    <w:rsid w:val="00A975EF"/>
    <w:rsid w:val="00AB0480"/>
    <w:rsid w:val="00AB2691"/>
    <w:rsid w:val="00AB270E"/>
    <w:rsid w:val="00AB3928"/>
    <w:rsid w:val="00AB4367"/>
    <w:rsid w:val="00AB5611"/>
    <w:rsid w:val="00AC1823"/>
    <w:rsid w:val="00AC40A3"/>
    <w:rsid w:val="00AC438C"/>
    <w:rsid w:val="00AC6102"/>
    <w:rsid w:val="00AD1AE6"/>
    <w:rsid w:val="00AD2E45"/>
    <w:rsid w:val="00AE19BD"/>
    <w:rsid w:val="00AE3321"/>
    <w:rsid w:val="00AE57E5"/>
    <w:rsid w:val="00AF22F3"/>
    <w:rsid w:val="00AF30AD"/>
    <w:rsid w:val="00AF6938"/>
    <w:rsid w:val="00B04944"/>
    <w:rsid w:val="00B05BB6"/>
    <w:rsid w:val="00B06B0C"/>
    <w:rsid w:val="00B13C07"/>
    <w:rsid w:val="00B15CD1"/>
    <w:rsid w:val="00B17219"/>
    <w:rsid w:val="00B17B0D"/>
    <w:rsid w:val="00B17F38"/>
    <w:rsid w:val="00B20553"/>
    <w:rsid w:val="00B21C9F"/>
    <w:rsid w:val="00B22956"/>
    <w:rsid w:val="00B25C1B"/>
    <w:rsid w:val="00B26157"/>
    <w:rsid w:val="00B31D49"/>
    <w:rsid w:val="00B31D60"/>
    <w:rsid w:val="00B35DEC"/>
    <w:rsid w:val="00B374D2"/>
    <w:rsid w:val="00B40ED1"/>
    <w:rsid w:val="00B43101"/>
    <w:rsid w:val="00B4464A"/>
    <w:rsid w:val="00B44C80"/>
    <w:rsid w:val="00B50637"/>
    <w:rsid w:val="00B50D2F"/>
    <w:rsid w:val="00B52530"/>
    <w:rsid w:val="00B531C4"/>
    <w:rsid w:val="00B5338A"/>
    <w:rsid w:val="00B53D4A"/>
    <w:rsid w:val="00B541BC"/>
    <w:rsid w:val="00B55436"/>
    <w:rsid w:val="00B5642E"/>
    <w:rsid w:val="00B5697B"/>
    <w:rsid w:val="00B57590"/>
    <w:rsid w:val="00B64B1B"/>
    <w:rsid w:val="00B64F35"/>
    <w:rsid w:val="00B666F5"/>
    <w:rsid w:val="00B707BF"/>
    <w:rsid w:val="00B7211F"/>
    <w:rsid w:val="00B7338E"/>
    <w:rsid w:val="00B7586C"/>
    <w:rsid w:val="00B7614A"/>
    <w:rsid w:val="00B77F4F"/>
    <w:rsid w:val="00B86263"/>
    <w:rsid w:val="00B86639"/>
    <w:rsid w:val="00B87206"/>
    <w:rsid w:val="00B87DAD"/>
    <w:rsid w:val="00B92EC3"/>
    <w:rsid w:val="00B9377B"/>
    <w:rsid w:val="00B94406"/>
    <w:rsid w:val="00B9566D"/>
    <w:rsid w:val="00BA1428"/>
    <w:rsid w:val="00BB4222"/>
    <w:rsid w:val="00BB5FBD"/>
    <w:rsid w:val="00BB65E6"/>
    <w:rsid w:val="00BB70C8"/>
    <w:rsid w:val="00BC0810"/>
    <w:rsid w:val="00BC36A8"/>
    <w:rsid w:val="00BC40AA"/>
    <w:rsid w:val="00BC7C43"/>
    <w:rsid w:val="00BD33C6"/>
    <w:rsid w:val="00BD64E8"/>
    <w:rsid w:val="00BE3E91"/>
    <w:rsid w:val="00BE3EE6"/>
    <w:rsid w:val="00BE6B31"/>
    <w:rsid w:val="00BF1D6A"/>
    <w:rsid w:val="00BF3D98"/>
    <w:rsid w:val="00BF6866"/>
    <w:rsid w:val="00C01479"/>
    <w:rsid w:val="00C02EAB"/>
    <w:rsid w:val="00C0342F"/>
    <w:rsid w:val="00C0528A"/>
    <w:rsid w:val="00C31D2F"/>
    <w:rsid w:val="00C36664"/>
    <w:rsid w:val="00C37D9C"/>
    <w:rsid w:val="00C42265"/>
    <w:rsid w:val="00C45890"/>
    <w:rsid w:val="00C5292C"/>
    <w:rsid w:val="00C53A51"/>
    <w:rsid w:val="00C55A9C"/>
    <w:rsid w:val="00C6596B"/>
    <w:rsid w:val="00C664C9"/>
    <w:rsid w:val="00C70758"/>
    <w:rsid w:val="00C711DA"/>
    <w:rsid w:val="00C80F8A"/>
    <w:rsid w:val="00C91F55"/>
    <w:rsid w:val="00CA3156"/>
    <w:rsid w:val="00CB16EB"/>
    <w:rsid w:val="00CB2639"/>
    <w:rsid w:val="00CB3FB7"/>
    <w:rsid w:val="00CB40EB"/>
    <w:rsid w:val="00CB4F73"/>
    <w:rsid w:val="00CB5408"/>
    <w:rsid w:val="00CB5CC7"/>
    <w:rsid w:val="00CB71A1"/>
    <w:rsid w:val="00CB798C"/>
    <w:rsid w:val="00CC26A8"/>
    <w:rsid w:val="00CD514B"/>
    <w:rsid w:val="00CE3EE5"/>
    <w:rsid w:val="00CF1CC7"/>
    <w:rsid w:val="00D00208"/>
    <w:rsid w:val="00D05794"/>
    <w:rsid w:val="00D05952"/>
    <w:rsid w:val="00D07B94"/>
    <w:rsid w:val="00D12D8A"/>
    <w:rsid w:val="00D13DD2"/>
    <w:rsid w:val="00D1479D"/>
    <w:rsid w:val="00D26B48"/>
    <w:rsid w:val="00D304D8"/>
    <w:rsid w:val="00D35CAD"/>
    <w:rsid w:val="00D4198B"/>
    <w:rsid w:val="00D43152"/>
    <w:rsid w:val="00D52D9F"/>
    <w:rsid w:val="00D60139"/>
    <w:rsid w:val="00D61969"/>
    <w:rsid w:val="00D63359"/>
    <w:rsid w:val="00D65047"/>
    <w:rsid w:val="00D719B6"/>
    <w:rsid w:val="00D724FB"/>
    <w:rsid w:val="00D73AB2"/>
    <w:rsid w:val="00D74B07"/>
    <w:rsid w:val="00D759ED"/>
    <w:rsid w:val="00D77662"/>
    <w:rsid w:val="00D80847"/>
    <w:rsid w:val="00D8299A"/>
    <w:rsid w:val="00D833AB"/>
    <w:rsid w:val="00D835B8"/>
    <w:rsid w:val="00D8382F"/>
    <w:rsid w:val="00D84AD9"/>
    <w:rsid w:val="00D84C20"/>
    <w:rsid w:val="00DA0E64"/>
    <w:rsid w:val="00DA496D"/>
    <w:rsid w:val="00DA79E1"/>
    <w:rsid w:val="00DB0B57"/>
    <w:rsid w:val="00DB2B5E"/>
    <w:rsid w:val="00DC2E98"/>
    <w:rsid w:val="00DC327A"/>
    <w:rsid w:val="00DC6657"/>
    <w:rsid w:val="00DD1823"/>
    <w:rsid w:val="00DD2506"/>
    <w:rsid w:val="00DD2EA0"/>
    <w:rsid w:val="00DD3631"/>
    <w:rsid w:val="00DE0734"/>
    <w:rsid w:val="00DE6A28"/>
    <w:rsid w:val="00DF1844"/>
    <w:rsid w:val="00DF7969"/>
    <w:rsid w:val="00E00596"/>
    <w:rsid w:val="00E00C1F"/>
    <w:rsid w:val="00E056D7"/>
    <w:rsid w:val="00E06B7C"/>
    <w:rsid w:val="00E13F6F"/>
    <w:rsid w:val="00E20803"/>
    <w:rsid w:val="00E2083C"/>
    <w:rsid w:val="00E23911"/>
    <w:rsid w:val="00E249FB"/>
    <w:rsid w:val="00E26700"/>
    <w:rsid w:val="00E3110B"/>
    <w:rsid w:val="00E338C4"/>
    <w:rsid w:val="00E36288"/>
    <w:rsid w:val="00E37EAC"/>
    <w:rsid w:val="00E4080E"/>
    <w:rsid w:val="00E41087"/>
    <w:rsid w:val="00E4440D"/>
    <w:rsid w:val="00E5050F"/>
    <w:rsid w:val="00E517D4"/>
    <w:rsid w:val="00E53080"/>
    <w:rsid w:val="00E546E9"/>
    <w:rsid w:val="00E5756C"/>
    <w:rsid w:val="00E61F68"/>
    <w:rsid w:val="00E620CF"/>
    <w:rsid w:val="00E62B33"/>
    <w:rsid w:val="00E649E6"/>
    <w:rsid w:val="00E76198"/>
    <w:rsid w:val="00E77521"/>
    <w:rsid w:val="00E80B21"/>
    <w:rsid w:val="00E82680"/>
    <w:rsid w:val="00E854B7"/>
    <w:rsid w:val="00E86050"/>
    <w:rsid w:val="00E87280"/>
    <w:rsid w:val="00E959E7"/>
    <w:rsid w:val="00EA3F9B"/>
    <w:rsid w:val="00EB1EF6"/>
    <w:rsid w:val="00EB3F7F"/>
    <w:rsid w:val="00EC0179"/>
    <w:rsid w:val="00EC2796"/>
    <w:rsid w:val="00EC66DE"/>
    <w:rsid w:val="00ED78F9"/>
    <w:rsid w:val="00EE040D"/>
    <w:rsid w:val="00EE2E46"/>
    <w:rsid w:val="00EE41AE"/>
    <w:rsid w:val="00EE7B24"/>
    <w:rsid w:val="00EF41B5"/>
    <w:rsid w:val="00EF575A"/>
    <w:rsid w:val="00F14221"/>
    <w:rsid w:val="00F25292"/>
    <w:rsid w:val="00F254DE"/>
    <w:rsid w:val="00F3175C"/>
    <w:rsid w:val="00F32AB5"/>
    <w:rsid w:val="00F34011"/>
    <w:rsid w:val="00F360F7"/>
    <w:rsid w:val="00F56415"/>
    <w:rsid w:val="00F649AA"/>
    <w:rsid w:val="00F65EB8"/>
    <w:rsid w:val="00F714B6"/>
    <w:rsid w:val="00F73D04"/>
    <w:rsid w:val="00F74254"/>
    <w:rsid w:val="00F805C8"/>
    <w:rsid w:val="00F90A49"/>
    <w:rsid w:val="00F94881"/>
    <w:rsid w:val="00FA0E6D"/>
    <w:rsid w:val="00FA1306"/>
    <w:rsid w:val="00FA2F17"/>
    <w:rsid w:val="00FA7720"/>
    <w:rsid w:val="00FB1849"/>
    <w:rsid w:val="00FB2367"/>
    <w:rsid w:val="00FB60EA"/>
    <w:rsid w:val="00FC00C5"/>
    <w:rsid w:val="00FC0764"/>
    <w:rsid w:val="00FD097F"/>
    <w:rsid w:val="00FD1958"/>
    <w:rsid w:val="00FD4DD8"/>
    <w:rsid w:val="00FD75CE"/>
    <w:rsid w:val="00FE4B89"/>
    <w:rsid w:val="00FF1919"/>
    <w:rsid w:val="00FF2D12"/>
    <w:rsid w:val="00FF3E9E"/>
    <w:rsid w:val="00FF3FFD"/>
    <w:rsid w:val="00FF411E"/>
    <w:rsid w:val="00FF7A03"/>
    <w:rsid w:val="00FF7C86"/>
    <w:rsid w:val="00FF7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white"/>
    </o:shapedefaults>
    <o:shapelayout v:ext="edit">
      <o:idmap v:ext="edit" data="2"/>
    </o:shapelayout>
  </w:shapeDefaults>
  <w:decimalSymbol w:val="."/>
  <w:listSeparator w:val=","/>
  <w14:docId w14:val="0A24DEC1"/>
  <w15:chartTrackingRefBased/>
  <w15:docId w15:val="{31516AB3-DA3A-4A4C-B73C-C10151E4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F2E62"/>
    <w:pPr>
      <w:spacing w:after="160" w:line="259" w:lineRule="auto"/>
    </w:pPr>
    <w:rPr>
      <w:sz w:val="22"/>
      <w:szCs w:val="22"/>
      <w:lang w:val="en-GB"/>
    </w:rPr>
  </w:style>
  <w:style w:type="paragraph" w:styleId="Heading1">
    <w:name w:val="heading 1"/>
    <w:basedOn w:val="Normal"/>
    <w:next w:val="BodyText"/>
    <w:link w:val="Heading1Char"/>
    <w:qFormat/>
    <w:rsid w:val="00A13439"/>
    <w:pPr>
      <w:keepNext/>
      <w:numPr>
        <w:numId w:val="17"/>
      </w:numPr>
      <w:spacing w:after="120" w:line="240" w:lineRule="auto"/>
      <w:outlineLvl w:val="0"/>
    </w:pPr>
    <w:rPr>
      <w:rFonts w:ascii="Arial" w:eastAsia="Times New Roman" w:hAnsi="Arial" w:cs="Arial"/>
      <w:b/>
      <w:bCs/>
      <w:kern w:val="32"/>
      <w:sz w:val="24"/>
      <w:szCs w:val="32"/>
      <w:lang w:val="en-US"/>
    </w:rPr>
  </w:style>
  <w:style w:type="paragraph" w:styleId="Heading2">
    <w:name w:val="heading 2"/>
    <w:basedOn w:val="Normal"/>
    <w:next w:val="BodyText"/>
    <w:link w:val="Heading2Char"/>
    <w:qFormat/>
    <w:rsid w:val="00A13439"/>
    <w:pPr>
      <w:keepNext/>
      <w:numPr>
        <w:ilvl w:val="1"/>
        <w:numId w:val="17"/>
      </w:numPr>
      <w:spacing w:after="120" w:line="240" w:lineRule="auto"/>
      <w:outlineLvl w:val="1"/>
    </w:pPr>
    <w:rPr>
      <w:rFonts w:ascii="Arial Bold" w:eastAsia="Times New Roman" w:hAnsi="Arial Bold" w:cs="Arial"/>
      <w:b/>
      <w:bCs/>
      <w:iCs/>
      <w:lang w:val="en-US"/>
    </w:rPr>
  </w:style>
  <w:style w:type="paragraph" w:styleId="Heading3">
    <w:name w:val="heading 3"/>
    <w:basedOn w:val="Normal"/>
    <w:next w:val="BodyText"/>
    <w:link w:val="Heading3Char"/>
    <w:qFormat/>
    <w:rsid w:val="00A13439"/>
    <w:pPr>
      <w:keepNext/>
      <w:numPr>
        <w:ilvl w:val="2"/>
        <w:numId w:val="17"/>
      </w:numPr>
      <w:spacing w:after="120" w:line="240" w:lineRule="auto"/>
      <w:outlineLvl w:val="2"/>
    </w:pPr>
    <w:rPr>
      <w:rFonts w:ascii="Arial" w:eastAsia="Times New Roman" w:hAnsi="Arial" w:cs="Arial"/>
      <w:b/>
      <w:bCs/>
      <w:szCs w:val="26"/>
      <w:lang w:val="en-US"/>
    </w:rPr>
  </w:style>
  <w:style w:type="paragraph" w:styleId="Heading4">
    <w:name w:val="heading 4"/>
    <w:basedOn w:val="Normal"/>
    <w:next w:val="Normal"/>
    <w:link w:val="Heading4Char"/>
    <w:qFormat/>
    <w:rsid w:val="00A13439"/>
    <w:pPr>
      <w:keepNext/>
      <w:numPr>
        <w:ilvl w:val="3"/>
        <w:numId w:val="17"/>
      </w:numPr>
      <w:spacing w:before="240" w:after="60" w:line="240" w:lineRule="auto"/>
      <w:outlineLvl w:val="3"/>
    </w:pPr>
    <w:rPr>
      <w:rFonts w:ascii="Arial" w:eastAsia="Times New Roman" w:hAnsi="Arial"/>
      <w:b/>
      <w:bCs/>
      <w:sz w:val="28"/>
      <w:szCs w:val="28"/>
      <w:lang w:val="en-US"/>
    </w:rPr>
  </w:style>
  <w:style w:type="paragraph" w:styleId="Heading5">
    <w:name w:val="heading 5"/>
    <w:basedOn w:val="Normal"/>
    <w:next w:val="Normal"/>
    <w:link w:val="Heading5Char"/>
    <w:qFormat/>
    <w:rsid w:val="00A13439"/>
    <w:pPr>
      <w:numPr>
        <w:ilvl w:val="4"/>
        <w:numId w:val="17"/>
      </w:numPr>
      <w:spacing w:before="240" w:after="60" w:line="240" w:lineRule="auto"/>
      <w:outlineLvl w:val="4"/>
    </w:pPr>
    <w:rPr>
      <w:rFonts w:ascii="Arial" w:eastAsia="Times New Roman" w:hAnsi="Arial"/>
      <w:b/>
      <w:bCs/>
      <w:i/>
      <w:iCs/>
      <w:sz w:val="26"/>
      <w:szCs w:val="26"/>
      <w:lang w:val="en-US"/>
    </w:rPr>
  </w:style>
  <w:style w:type="paragraph" w:styleId="Heading6">
    <w:name w:val="heading 6"/>
    <w:basedOn w:val="Normal"/>
    <w:next w:val="Normal"/>
    <w:link w:val="Heading6Char"/>
    <w:qFormat/>
    <w:rsid w:val="00A13439"/>
    <w:pPr>
      <w:numPr>
        <w:ilvl w:val="5"/>
        <w:numId w:val="17"/>
      </w:numPr>
      <w:spacing w:before="240" w:after="60" w:line="240" w:lineRule="auto"/>
      <w:outlineLvl w:val="5"/>
    </w:pPr>
    <w:rPr>
      <w:rFonts w:ascii="Arial" w:eastAsia="Times New Roman" w:hAnsi="Arial"/>
      <w:b/>
      <w:bCs/>
      <w:lang w:val="en-US"/>
    </w:rPr>
  </w:style>
  <w:style w:type="paragraph" w:styleId="Heading7">
    <w:name w:val="heading 7"/>
    <w:basedOn w:val="Normal"/>
    <w:next w:val="Normal"/>
    <w:link w:val="Heading7Char"/>
    <w:qFormat/>
    <w:rsid w:val="00A13439"/>
    <w:pPr>
      <w:numPr>
        <w:ilvl w:val="6"/>
        <w:numId w:val="17"/>
      </w:numPr>
      <w:spacing w:before="240" w:after="60" w:line="240" w:lineRule="auto"/>
      <w:outlineLvl w:val="6"/>
    </w:pPr>
    <w:rPr>
      <w:rFonts w:ascii="Arial" w:eastAsia="Times New Roman" w:hAnsi="Arial"/>
      <w:szCs w:val="24"/>
      <w:lang w:val="en-US"/>
    </w:rPr>
  </w:style>
  <w:style w:type="paragraph" w:styleId="Heading8">
    <w:name w:val="heading 8"/>
    <w:basedOn w:val="Normal"/>
    <w:next w:val="Normal"/>
    <w:link w:val="Heading8Char"/>
    <w:qFormat/>
    <w:rsid w:val="00A13439"/>
    <w:pPr>
      <w:numPr>
        <w:ilvl w:val="7"/>
        <w:numId w:val="17"/>
      </w:numPr>
      <w:spacing w:before="240" w:after="60" w:line="240" w:lineRule="auto"/>
      <w:outlineLvl w:val="7"/>
    </w:pPr>
    <w:rPr>
      <w:rFonts w:ascii="Arial" w:eastAsia="Times New Roman" w:hAnsi="Arial"/>
      <w:i/>
      <w:iCs/>
      <w:szCs w:val="24"/>
      <w:lang w:val="en-US"/>
    </w:rPr>
  </w:style>
  <w:style w:type="paragraph" w:styleId="Heading9">
    <w:name w:val="heading 9"/>
    <w:basedOn w:val="Normal"/>
    <w:next w:val="Normal"/>
    <w:link w:val="Heading9Char"/>
    <w:qFormat/>
    <w:rsid w:val="00A13439"/>
    <w:pPr>
      <w:numPr>
        <w:ilvl w:val="8"/>
        <w:numId w:val="17"/>
      </w:num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7301"/>
    <w:pPr>
      <w:tabs>
        <w:tab w:val="center" w:pos="4513"/>
        <w:tab w:val="right" w:pos="9026"/>
      </w:tabs>
      <w:spacing w:after="0" w:line="240" w:lineRule="auto"/>
    </w:pPr>
  </w:style>
  <w:style w:type="character" w:customStyle="1" w:styleId="HeaderChar">
    <w:name w:val="Header Char"/>
    <w:basedOn w:val="DefaultParagraphFont"/>
    <w:link w:val="Header"/>
    <w:rsid w:val="00927301"/>
  </w:style>
  <w:style w:type="paragraph" w:styleId="Footer">
    <w:name w:val="footer"/>
    <w:basedOn w:val="Normal"/>
    <w:link w:val="FooterChar"/>
    <w:uiPriority w:val="99"/>
    <w:unhideWhenUsed/>
    <w:rsid w:val="009273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301"/>
  </w:style>
  <w:style w:type="paragraph" w:customStyle="1" w:styleId="IOPHeader">
    <w:name w:val="IOPHeader"/>
    <w:basedOn w:val="Header"/>
    <w:link w:val="IOPHeaderChar"/>
    <w:qFormat/>
    <w:rsid w:val="00654D1E"/>
    <w:pPr>
      <w:pBdr>
        <w:bottom w:val="single" w:sz="4" w:space="1" w:color="auto"/>
      </w:pBdr>
    </w:pPr>
  </w:style>
  <w:style w:type="paragraph" w:customStyle="1" w:styleId="IOPTitle">
    <w:name w:val="IOPTitle"/>
    <w:basedOn w:val="Normal"/>
    <w:link w:val="IOPTitleChar"/>
    <w:qFormat/>
    <w:rsid w:val="00D43152"/>
    <w:pPr>
      <w:spacing w:after="520"/>
    </w:pPr>
    <w:rPr>
      <w:b/>
      <w:sz w:val="48"/>
      <w:szCs w:val="48"/>
    </w:rPr>
  </w:style>
  <w:style w:type="character" w:customStyle="1" w:styleId="IOPHeaderChar">
    <w:name w:val="IOPHeader Char"/>
    <w:basedOn w:val="HeaderChar"/>
    <w:link w:val="IOPHeader"/>
    <w:rsid w:val="00654D1E"/>
  </w:style>
  <w:style w:type="paragraph" w:customStyle="1" w:styleId="IOPAuthor">
    <w:name w:val="IOPAuthor"/>
    <w:basedOn w:val="Normal"/>
    <w:link w:val="IOPAuthorChar"/>
    <w:qFormat/>
    <w:rsid w:val="00D74B07"/>
    <w:pPr>
      <w:spacing w:after="200"/>
      <w:ind w:right="2552"/>
    </w:pPr>
    <w:rPr>
      <w:b/>
    </w:rPr>
  </w:style>
  <w:style w:type="character" w:customStyle="1" w:styleId="IOPTitleChar">
    <w:name w:val="IOPTitle Char"/>
    <w:link w:val="IOPTitle"/>
    <w:rsid w:val="00D43152"/>
    <w:rPr>
      <w:b/>
      <w:sz w:val="48"/>
      <w:szCs w:val="48"/>
    </w:rPr>
  </w:style>
  <w:style w:type="paragraph" w:customStyle="1" w:styleId="IOPAff">
    <w:name w:val="IOPAff"/>
    <w:basedOn w:val="IOPAuthor"/>
    <w:link w:val="IOPAffChar"/>
    <w:qFormat/>
    <w:rsid w:val="00D74B07"/>
    <w:pPr>
      <w:spacing w:after="0"/>
    </w:pPr>
    <w:rPr>
      <w:rFonts w:ascii="Times New Roman" w:hAnsi="Times New Roman"/>
      <w:b w:val="0"/>
      <w:sz w:val="18"/>
      <w:szCs w:val="18"/>
    </w:rPr>
  </w:style>
  <w:style w:type="character" w:customStyle="1" w:styleId="IOPAuthorChar">
    <w:name w:val="IOPAuthor Char"/>
    <w:link w:val="IOPAuthor"/>
    <w:rsid w:val="00D74B07"/>
    <w:rPr>
      <w:b/>
    </w:rPr>
  </w:style>
  <w:style w:type="paragraph" w:customStyle="1" w:styleId="IOPH1">
    <w:name w:val="IOPH1"/>
    <w:basedOn w:val="IOPAff"/>
    <w:link w:val="IOPH1Char"/>
    <w:qFormat/>
    <w:rsid w:val="0087550C"/>
    <w:pPr>
      <w:spacing w:before="200" w:after="120"/>
      <w:ind w:right="0"/>
    </w:pPr>
    <w:rPr>
      <w:rFonts w:ascii="Calibri" w:hAnsi="Calibri"/>
      <w:b/>
      <w:sz w:val="22"/>
    </w:rPr>
  </w:style>
  <w:style w:type="character" w:customStyle="1" w:styleId="IOPAffChar">
    <w:name w:val="IOPAff Char"/>
    <w:link w:val="IOPAff"/>
    <w:rsid w:val="00D74B07"/>
    <w:rPr>
      <w:rFonts w:ascii="Times New Roman" w:hAnsi="Times New Roman" w:cs="Times New Roman"/>
      <w:b w:val="0"/>
      <w:sz w:val="18"/>
      <w:szCs w:val="18"/>
    </w:rPr>
  </w:style>
  <w:style w:type="paragraph" w:customStyle="1" w:styleId="IOPAbsText">
    <w:name w:val="IOPAbsText"/>
    <w:basedOn w:val="Normal"/>
    <w:link w:val="IOPAbsTextChar"/>
    <w:qFormat/>
    <w:rsid w:val="00D74B07"/>
    <w:pPr>
      <w:spacing w:after="0"/>
      <w:ind w:right="2552"/>
    </w:pPr>
    <w:rPr>
      <w:rFonts w:ascii="Times New Roman" w:hAnsi="Times New Roman"/>
      <w:sz w:val="20"/>
    </w:rPr>
  </w:style>
  <w:style w:type="character" w:customStyle="1" w:styleId="IOPH1Char">
    <w:name w:val="IOPH1 Char"/>
    <w:link w:val="IOPH1"/>
    <w:rsid w:val="0087550C"/>
    <w:rPr>
      <w:rFonts w:ascii="Times New Roman" w:hAnsi="Times New Roman" w:cs="Times New Roman"/>
      <w:b/>
      <w:sz w:val="18"/>
      <w:szCs w:val="18"/>
    </w:rPr>
  </w:style>
  <w:style w:type="paragraph" w:customStyle="1" w:styleId="IOPKwd">
    <w:name w:val="IOPKwd"/>
    <w:basedOn w:val="IOPAbsText"/>
    <w:link w:val="IOPKwdChar"/>
    <w:qFormat/>
    <w:rsid w:val="005223F4"/>
    <w:pPr>
      <w:pBdr>
        <w:bottom w:val="single" w:sz="4" w:space="1" w:color="auto"/>
      </w:pBdr>
      <w:spacing w:before="240" w:after="240"/>
      <w:ind w:right="0"/>
    </w:pPr>
  </w:style>
  <w:style w:type="character" w:customStyle="1" w:styleId="IOPAbsTextChar">
    <w:name w:val="IOPAbsText Char"/>
    <w:link w:val="IOPAbsText"/>
    <w:rsid w:val="00D74B07"/>
    <w:rPr>
      <w:rFonts w:ascii="Times New Roman" w:hAnsi="Times New Roman"/>
      <w:sz w:val="20"/>
    </w:rPr>
  </w:style>
  <w:style w:type="paragraph" w:customStyle="1" w:styleId="IOPText">
    <w:name w:val="IOPText"/>
    <w:basedOn w:val="IOPAbsText"/>
    <w:link w:val="IOPTextChar"/>
    <w:qFormat/>
    <w:rsid w:val="00A40AFB"/>
    <w:pPr>
      <w:ind w:right="0" w:firstLine="227"/>
      <w:jc w:val="both"/>
    </w:pPr>
  </w:style>
  <w:style w:type="character" w:customStyle="1" w:styleId="IOPKwdChar">
    <w:name w:val="IOPKwd Char"/>
    <w:link w:val="IOPKwd"/>
    <w:rsid w:val="005223F4"/>
    <w:rPr>
      <w:rFonts w:ascii="Times New Roman" w:hAnsi="Times New Roman"/>
      <w:sz w:val="20"/>
    </w:rPr>
  </w:style>
  <w:style w:type="character" w:customStyle="1" w:styleId="IOPTextChar">
    <w:name w:val="IOPText Char"/>
    <w:link w:val="IOPText"/>
    <w:rsid w:val="00A40AFB"/>
    <w:rPr>
      <w:rFonts w:ascii="Times New Roman" w:hAnsi="Times New Roman"/>
      <w:sz w:val="20"/>
    </w:rPr>
  </w:style>
  <w:style w:type="paragraph" w:customStyle="1" w:styleId="IOPH2">
    <w:name w:val="IOPH2"/>
    <w:basedOn w:val="IOPH1"/>
    <w:link w:val="IOPH2Char"/>
    <w:qFormat/>
    <w:rsid w:val="0087550C"/>
    <w:rPr>
      <w:b w:val="0"/>
      <w:i/>
    </w:rPr>
  </w:style>
  <w:style w:type="paragraph" w:customStyle="1" w:styleId="IOPH3">
    <w:name w:val="IOPH3"/>
    <w:basedOn w:val="IOPH2"/>
    <w:link w:val="IOPH3Char"/>
    <w:qFormat/>
    <w:rsid w:val="008D59E9"/>
    <w:pPr>
      <w:spacing w:after="0"/>
    </w:pPr>
  </w:style>
  <w:style w:type="character" w:customStyle="1" w:styleId="IOPH2Char">
    <w:name w:val="IOPH2 Char"/>
    <w:link w:val="IOPH2"/>
    <w:rsid w:val="0087550C"/>
    <w:rPr>
      <w:rFonts w:ascii="Times New Roman" w:hAnsi="Times New Roman" w:cs="Times New Roman"/>
      <w:b w:val="0"/>
      <w:i/>
      <w:sz w:val="18"/>
      <w:szCs w:val="18"/>
    </w:rPr>
  </w:style>
  <w:style w:type="paragraph" w:customStyle="1" w:styleId="IOPrefs0">
    <w:name w:val="IOPrefs"/>
    <w:link w:val="IOPrefsChar"/>
    <w:rsid w:val="00E86050"/>
    <w:pPr>
      <w:spacing w:line="259" w:lineRule="auto"/>
      <w:ind w:left="284" w:hanging="284"/>
    </w:pPr>
    <w:rPr>
      <w:rFonts w:ascii="Times New Roman" w:hAnsi="Times New Roman"/>
      <w:noProof/>
      <w:sz w:val="18"/>
      <w:szCs w:val="22"/>
      <w:lang w:val="en-GB"/>
    </w:rPr>
  </w:style>
  <w:style w:type="character" w:customStyle="1" w:styleId="IOPH3Char">
    <w:name w:val="IOPH3 Char"/>
    <w:link w:val="IOPH3"/>
    <w:rsid w:val="008D59E9"/>
    <w:rPr>
      <w:rFonts w:ascii="Times New Roman" w:hAnsi="Times New Roman" w:cs="Times New Roman"/>
      <w:b w:val="0"/>
      <w:i/>
      <w:sz w:val="18"/>
      <w:szCs w:val="18"/>
    </w:rPr>
  </w:style>
  <w:style w:type="paragraph" w:customStyle="1" w:styleId="IOPRefs">
    <w:name w:val="IOPRefs"/>
    <w:basedOn w:val="IOPrefs0"/>
    <w:link w:val="IOPRefsChar0"/>
    <w:qFormat/>
    <w:rsid w:val="00E86050"/>
    <w:pPr>
      <w:numPr>
        <w:numId w:val="2"/>
      </w:numPr>
    </w:pPr>
  </w:style>
  <w:style w:type="character" w:customStyle="1" w:styleId="IOPrefsChar">
    <w:name w:val="IOPrefs Char"/>
    <w:link w:val="IOPrefs0"/>
    <w:rsid w:val="00E86050"/>
    <w:rPr>
      <w:rFonts w:ascii="Times New Roman" w:hAnsi="Times New Roman"/>
      <w:noProof/>
      <w:sz w:val="18"/>
    </w:rPr>
  </w:style>
  <w:style w:type="character" w:customStyle="1" w:styleId="IOPRefsChar0">
    <w:name w:val="IOPRefs Char"/>
    <w:link w:val="IOPRefs"/>
    <w:rsid w:val="00E86050"/>
    <w:rPr>
      <w:rFonts w:ascii="Times New Roman" w:hAnsi="Times New Roman"/>
      <w:noProof/>
      <w:sz w:val="18"/>
    </w:rPr>
  </w:style>
  <w:style w:type="character" w:styleId="CommentReference">
    <w:name w:val="annotation reference"/>
    <w:basedOn w:val="DefaultParagraphFont"/>
    <w:uiPriority w:val="99"/>
    <w:semiHidden/>
    <w:unhideWhenUsed/>
    <w:rsid w:val="000E312E"/>
    <w:rPr>
      <w:sz w:val="16"/>
      <w:szCs w:val="16"/>
    </w:rPr>
  </w:style>
  <w:style w:type="paragraph" w:styleId="CommentText">
    <w:name w:val="annotation text"/>
    <w:basedOn w:val="Normal"/>
    <w:link w:val="CommentTextChar"/>
    <w:uiPriority w:val="99"/>
    <w:unhideWhenUsed/>
    <w:rsid w:val="000E312E"/>
    <w:rPr>
      <w:sz w:val="20"/>
      <w:szCs w:val="20"/>
    </w:rPr>
  </w:style>
  <w:style w:type="character" w:customStyle="1" w:styleId="CommentTextChar">
    <w:name w:val="Comment Text Char"/>
    <w:basedOn w:val="DefaultParagraphFont"/>
    <w:link w:val="CommentText"/>
    <w:uiPriority w:val="99"/>
    <w:rsid w:val="000E312E"/>
    <w:rPr>
      <w:lang w:val="en-GB"/>
    </w:rPr>
  </w:style>
  <w:style w:type="paragraph" w:styleId="CommentSubject">
    <w:name w:val="annotation subject"/>
    <w:basedOn w:val="CommentText"/>
    <w:next w:val="CommentText"/>
    <w:link w:val="CommentSubjectChar"/>
    <w:uiPriority w:val="99"/>
    <w:semiHidden/>
    <w:unhideWhenUsed/>
    <w:rsid w:val="000E312E"/>
    <w:rPr>
      <w:b/>
      <w:bCs/>
    </w:rPr>
  </w:style>
  <w:style w:type="character" w:customStyle="1" w:styleId="CommentSubjectChar">
    <w:name w:val="Comment Subject Char"/>
    <w:basedOn w:val="CommentTextChar"/>
    <w:link w:val="CommentSubject"/>
    <w:uiPriority w:val="99"/>
    <w:semiHidden/>
    <w:rsid w:val="000E312E"/>
    <w:rPr>
      <w:b/>
      <w:bCs/>
      <w:lang w:val="en-GB"/>
    </w:rPr>
  </w:style>
  <w:style w:type="paragraph" w:styleId="BalloonText">
    <w:name w:val="Balloon Text"/>
    <w:basedOn w:val="Normal"/>
    <w:link w:val="BalloonTextChar"/>
    <w:uiPriority w:val="99"/>
    <w:semiHidden/>
    <w:unhideWhenUsed/>
    <w:rsid w:val="000E3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12E"/>
    <w:rPr>
      <w:rFonts w:ascii="Segoe UI" w:hAnsi="Segoe UI" w:cs="Segoe UI"/>
      <w:sz w:val="18"/>
      <w:szCs w:val="18"/>
      <w:lang w:val="en-GB"/>
    </w:rPr>
  </w:style>
  <w:style w:type="table" w:styleId="TableGrid">
    <w:name w:val="Table Grid"/>
    <w:basedOn w:val="TableNormal"/>
    <w:uiPriority w:val="39"/>
    <w:rsid w:val="002A7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15118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DefaultParagraphFont"/>
    <w:uiPriority w:val="99"/>
    <w:unhideWhenUsed/>
    <w:rsid w:val="00717D41"/>
    <w:rPr>
      <w:color w:val="0563C1" w:themeColor="hyperlink"/>
      <w:u w:val="single"/>
    </w:rPr>
  </w:style>
  <w:style w:type="paragraph" w:styleId="ListParagraph">
    <w:name w:val="List Paragraph"/>
    <w:basedOn w:val="Normal"/>
    <w:uiPriority w:val="34"/>
    <w:qFormat/>
    <w:rsid w:val="001E1C3E"/>
    <w:pPr>
      <w:spacing w:line="256" w:lineRule="auto"/>
      <w:ind w:left="720"/>
      <w:contextualSpacing/>
    </w:pPr>
    <w:rPr>
      <w:rFonts w:asciiTheme="minorHAnsi" w:eastAsiaTheme="minorHAnsi" w:hAnsiTheme="minorHAnsi" w:cstheme="minorBidi"/>
      <w:lang w:val="en-US"/>
    </w:rPr>
  </w:style>
  <w:style w:type="table" w:styleId="GridTable4-Accent1">
    <w:name w:val="Grid Table 4 Accent 1"/>
    <w:basedOn w:val="TableNormal"/>
    <w:uiPriority w:val="49"/>
    <w:rsid w:val="00A9002E"/>
    <w:rPr>
      <w:rFonts w:asciiTheme="minorHAnsi" w:eastAsiaTheme="minorHAnsi" w:hAnsiTheme="minorHAnsi" w:cstheme="minorBidi"/>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semiHidden/>
    <w:unhideWhenUsed/>
    <w:rsid w:val="0083323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basedOn w:val="DefaultParagraphFont"/>
    <w:link w:val="Heading1"/>
    <w:rsid w:val="00A13439"/>
    <w:rPr>
      <w:rFonts w:ascii="Arial" w:eastAsia="Times New Roman" w:hAnsi="Arial" w:cs="Arial"/>
      <w:b/>
      <w:bCs/>
      <w:kern w:val="32"/>
      <w:sz w:val="24"/>
      <w:szCs w:val="32"/>
    </w:rPr>
  </w:style>
  <w:style w:type="character" w:customStyle="1" w:styleId="Heading2Char">
    <w:name w:val="Heading 2 Char"/>
    <w:basedOn w:val="DefaultParagraphFont"/>
    <w:link w:val="Heading2"/>
    <w:rsid w:val="00A13439"/>
    <w:rPr>
      <w:rFonts w:ascii="Arial Bold" w:eastAsia="Times New Roman" w:hAnsi="Arial Bold" w:cs="Arial"/>
      <w:b/>
      <w:bCs/>
      <w:iCs/>
      <w:sz w:val="22"/>
      <w:szCs w:val="22"/>
    </w:rPr>
  </w:style>
  <w:style w:type="character" w:customStyle="1" w:styleId="Heading3Char">
    <w:name w:val="Heading 3 Char"/>
    <w:basedOn w:val="DefaultParagraphFont"/>
    <w:link w:val="Heading3"/>
    <w:rsid w:val="00A13439"/>
    <w:rPr>
      <w:rFonts w:ascii="Arial" w:eastAsia="Times New Roman" w:hAnsi="Arial" w:cs="Arial"/>
      <w:b/>
      <w:bCs/>
      <w:sz w:val="22"/>
      <w:szCs w:val="26"/>
    </w:rPr>
  </w:style>
  <w:style w:type="character" w:customStyle="1" w:styleId="Heading4Char">
    <w:name w:val="Heading 4 Char"/>
    <w:basedOn w:val="DefaultParagraphFont"/>
    <w:link w:val="Heading4"/>
    <w:rsid w:val="00A13439"/>
    <w:rPr>
      <w:rFonts w:ascii="Arial" w:eastAsia="Times New Roman" w:hAnsi="Arial"/>
      <w:b/>
      <w:bCs/>
      <w:sz w:val="28"/>
      <w:szCs w:val="28"/>
    </w:rPr>
  </w:style>
  <w:style w:type="character" w:customStyle="1" w:styleId="Heading5Char">
    <w:name w:val="Heading 5 Char"/>
    <w:basedOn w:val="DefaultParagraphFont"/>
    <w:link w:val="Heading5"/>
    <w:rsid w:val="00A13439"/>
    <w:rPr>
      <w:rFonts w:ascii="Arial" w:eastAsia="Times New Roman" w:hAnsi="Arial"/>
      <w:b/>
      <w:bCs/>
      <w:i/>
      <w:iCs/>
      <w:sz w:val="26"/>
      <w:szCs w:val="26"/>
    </w:rPr>
  </w:style>
  <w:style w:type="character" w:customStyle="1" w:styleId="Heading6Char">
    <w:name w:val="Heading 6 Char"/>
    <w:basedOn w:val="DefaultParagraphFont"/>
    <w:link w:val="Heading6"/>
    <w:rsid w:val="00A13439"/>
    <w:rPr>
      <w:rFonts w:ascii="Arial" w:eastAsia="Times New Roman" w:hAnsi="Arial"/>
      <w:b/>
      <w:bCs/>
      <w:sz w:val="22"/>
      <w:szCs w:val="22"/>
    </w:rPr>
  </w:style>
  <w:style w:type="character" w:customStyle="1" w:styleId="Heading7Char">
    <w:name w:val="Heading 7 Char"/>
    <w:basedOn w:val="DefaultParagraphFont"/>
    <w:link w:val="Heading7"/>
    <w:rsid w:val="00A13439"/>
    <w:rPr>
      <w:rFonts w:ascii="Arial" w:eastAsia="Times New Roman" w:hAnsi="Arial"/>
      <w:sz w:val="22"/>
      <w:szCs w:val="24"/>
    </w:rPr>
  </w:style>
  <w:style w:type="character" w:customStyle="1" w:styleId="Heading8Char">
    <w:name w:val="Heading 8 Char"/>
    <w:basedOn w:val="DefaultParagraphFont"/>
    <w:link w:val="Heading8"/>
    <w:rsid w:val="00A13439"/>
    <w:rPr>
      <w:rFonts w:ascii="Arial" w:eastAsia="Times New Roman" w:hAnsi="Arial"/>
      <w:i/>
      <w:iCs/>
      <w:sz w:val="22"/>
      <w:szCs w:val="24"/>
    </w:rPr>
  </w:style>
  <w:style w:type="character" w:customStyle="1" w:styleId="Heading9Char">
    <w:name w:val="Heading 9 Char"/>
    <w:basedOn w:val="DefaultParagraphFont"/>
    <w:link w:val="Heading9"/>
    <w:rsid w:val="00A13439"/>
    <w:rPr>
      <w:rFonts w:ascii="Arial" w:eastAsia="Times New Roman" w:hAnsi="Arial" w:cs="Arial"/>
      <w:sz w:val="22"/>
      <w:szCs w:val="22"/>
    </w:rPr>
  </w:style>
  <w:style w:type="paragraph" w:styleId="BodyText">
    <w:name w:val="Body Text"/>
    <w:basedOn w:val="Normal"/>
    <w:link w:val="BodyTextChar"/>
    <w:rsid w:val="00A13439"/>
    <w:pPr>
      <w:spacing w:after="120" w:line="240" w:lineRule="auto"/>
      <w:ind w:left="360"/>
    </w:pPr>
    <w:rPr>
      <w:rFonts w:ascii="Arial" w:eastAsia="Times New Roman" w:hAnsi="Arial"/>
      <w:lang w:val="en-US"/>
    </w:rPr>
  </w:style>
  <w:style w:type="character" w:customStyle="1" w:styleId="BodyTextChar">
    <w:name w:val="Body Text Char"/>
    <w:basedOn w:val="DefaultParagraphFont"/>
    <w:link w:val="BodyText"/>
    <w:rsid w:val="00A13439"/>
    <w:rPr>
      <w:rFonts w:ascii="Arial" w:eastAsia="Times New Roman" w:hAnsi="Arial"/>
      <w:sz w:val="22"/>
      <w:szCs w:val="22"/>
    </w:rPr>
  </w:style>
  <w:style w:type="character" w:customStyle="1" w:styleId="cit">
    <w:name w:val="cit"/>
    <w:rsid w:val="00A13439"/>
  </w:style>
  <w:style w:type="table" w:styleId="GridTable4">
    <w:name w:val="Grid Table 4"/>
    <w:basedOn w:val="TableNormal"/>
    <w:uiPriority w:val="49"/>
    <w:rsid w:val="0077633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shd w:val="clear" w:color="auto" w:fill="404040" w:themeFill="text1" w:themeFillTint="BF"/>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77633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70890">
      <w:bodyDiv w:val="1"/>
      <w:marLeft w:val="0"/>
      <w:marRight w:val="0"/>
      <w:marTop w:val="0"/>
      <w:marBottom w:val="0"/>
      <w:divBdr>
        <w:top w:val="none" w:sz="0" w:space="0" w:color="auto"/>
        <w:left w:val="none" w:sz="0" w:space="0" w:color="auto"/>
        <w:bottom w:val="none" w:sz="0" w:space="0" w:color="auto"/>
        <w:right w:val="none" w:sz="0" w:space="0" w:color="auto"/>
      </w:divBdr>
    </w:div>
    <w:div w:id="116877169">
      <w:bodyDiv w:val="1"/>
      <w:marLeft w:val="0"/>
      <w:marRight w:val="0"/>
      <w:marTop w:val="0"/>
      <w:marBottom w:val="0"/>
      <w:divBdr>
        <w:top w:val="none" w:sz="0" w:space="0" w:color="auto"/>
        <w:left w:val="none" w:sz="0" w:space="0" w:color="auto"/>
        <w:bottom w:val="none" w:sz="0" w:space="0" w:color="auto"/>
        <w:right w:val="none" w:sz="0" w:space="0" w:color="auto"/>
      </w:divBdr>
    </w:div>
    <w:div w:id="147985436">
      <w:bodyDiv w:val="1"/>
      <w:marLeft w:val="0"/>
      <w:marRight w:val="0"/>
      <w:marTop w:val="0"/>
      <w:marBottom w:val="0"/>
      <w:divBdr>
        <w:top w:val="none" w:sz="0" w:space="0" w:color="auto"/>
        <w:left w:val="none" w:sz="0" w:space="0" w:color="auto"/>
        <w:bottom w:val="none" w:sz="0" w:space="0" w:color="auto"/>
        <w:right w:val="none" w:sz="0" w:space="0" w:color="auto"/>
      </w:divBdr>
    </w:div>
    <w:div w:id="648248200">
      <w:bodyDiv w:val="1"/>
      <w:marLeft w:val="0"/>
      <w:marRight w:val="0"/>
      <w:marTop w:val="0"/>
      <w:marBottom w:val="0"/>
      <w:divBdr>
        <w:top w:val="none" w:sz="0" w:space="0" w:color="auto"/>
        <w:left w:val="none" w:sz="0" w:space="0" w:color="auto"/>
        <w:bottom w:val="none" w:sz="0" w:space="0" w:color="auto"/>
        <w:right w:val="none" w:sz="0" w:space="0" w:color="auto"/>
      </w:divBdr>
    </w:div>
    <w:div w:id="1005521741">
      <w:bodyDiv w:val="1"/>
      <w:marLeft w:val="0"/>
      <w:marRight w:val="0"/>
      <w:marTop w:val="0"/>
      <w:marBottom w:val="0"/>
      <w:divBdr>
        <w:top w:val="none" w:sz="0" w:space="0" w:color="auto"/>
        <w:left w:val="none" w:sz="0" w:space="0" w:color="auto"/>
        <w:bottom w:val="none" w:sz="0" w:space="0" w:color="auto"/>
        <w:right w:val="none" w:sz="0" w:space="0" w:color="auto"/>
      </w:divBdr>
    </w:div>
    <w:div w:id="1124545637">
      <w:bodyDiv w:val="1"/>
      <w:marLeft w:val="0"/>
      <w:marRight w:val="0"/>
      <w:marTop w:val="0"/>
      <w:marBottom w:val="0"/>
      <w:divBdr>
        <w:top w:val="none" w:sz="0" w:space="0" w:color="auto"/>
        <w:left w:val="none" w:sz="0" w:space="0" w:color="auto"/>
        <w:bottom w:val="none" w:sz="0" w:space="0" w:color="auto"/>
        <w:right w:val="none" w:sz="0" w:space="0" w:color="auto"/>
      </w:divBdr>
    </w:div>
    <w:div w:id="1376544506">
      <w:bodyDiv w:val="1"/>
      <w:marLeft w:val="0"/>
      <w:marRight w:val="0"/>
      <w:marTop w:val="0"/>
      <w:marBottom w:val="0"/>
      <w:divBdr>
        <w:top w:val="none" w:sz="0" w:space="0" w:color="auto"/>
        <w:left w:val="none" w:sz="0" w:space="0" w:color="auto"/>
        <w:bottom w:val="none" w:sz="0" w:space="0" w:color="auto"/>
        <w:right w:val="none" w:sz="0" w:space="0" w:color="auto"/>
      </w:divBdr>
    </w:div>
    <w:div w:id="1989822799">
      <w:bodyDiv w:val="1"/>
      <w:marLeft w:val="0"/>
      <w:marRight w:val="0"/>
      <w:marTop w:val="0"/>
      <w:marBottom w:val="0"/>
      <w:divBdr>
        <w:top w:val="none" w:sz="0" w:space="0" w:color="auto"/>
        <w:left w:val="none" w:sz="0" w:space="0" w:color="auto"/>
        <w:bottom w:val="none" w:sz="0" w:space="0" w:color="auto"/>
        <w:right w:val="none" w:sz="0" w:space="0" w:color="auto"/>
      </w:divBdr>
    </w:div>
    <w:div w:id="1991056543">
      <w:bodyDiv w:val="1"/>
      <w:marLeft w:val="0"/>
      <w:marRight w:val="0"/>
      <w:marTop w:val="0"/>
      <w:marBottom w:val="0"/>
      <w:divBdr>
        <w:top w:val="none" w:sz="0" w:space="0" w:color="auto"/>
        <w:left w:val="none" w:sz="0" w:space="0" w:color="auto"/>
        <w:bottom w:val="none" w:sz="0" w:space="0" w:color="auto"/>
        <w:right w:val="none" w:sz="0" w:space="0" w:color="auto"/>
      </w:divBdr>
    </w:div>
    <w:div w:id="2014911473">
      <w:bodyDiv w:val="1"/>
      <w:marLeft w:val="0"/>
      <w:marRight w:val="0"/>
      <w:marTop w:val="0"/>
      <w:marBottom w:val="0"/>
      <w:divBdr>
        <w:top w:val="none" w:sz="0" w:space="0" w:color="auto"/>
        <w:left w:val="none" w:sz="0" w:space="0" w:color="auto"/>
        <w:bottom w:val="none" w:sz="0" w:space="0" w:color="auto"/>
        <w:right w:val="none" w:sz="0" w:space="0" w:color="auto"/>
      </w:divBdr>
    </w:div>
    <w:div w:id="214030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g\Downloads\IOPP-WordTemplateLa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1C7F2C478A9C418F3B8A479E2B888D" ma:contentTypeVersion="13" ma:contentTypeDescription="Create a new document." ma:contentTypeScope="" ma:versionID="5f023247e7187b1b82d6da4dd9accbd1">
  <xsd:schema xmlns:xsd="http://www.w3.org/2001/XMLSchema" xmlns:xs="http://www.w3.org/2001/XMLSchema" xmlns:p="http://schemas.microsoft.com/office/2006/metadata/properties" xmlns:ns3="7b1a086d-1046-423b-818b-e2fe3b4bdd27" xmlns:ns4="ef2d8ab9-6557-4a70-afe1-6c5f1feb8807" targetNamespace="http://schemas.microsoft.com/office/2006/metadata/properties" ma:root="true" ma:fieldsID="f30358d4e6f900b9ac0f55b3a92c1bef" ns3:_="" ns4:_="">
    <xsd:import namespace="7b1a086d-1046-423b-818b-e2fe3b4bdd27"/>
    <xsd:import namespace="ef2d8ab9-6557-4a70-afe1-6c5f1feb88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a086d-1046-423b-818b-e2fe3b4bdd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2d8ab9-6557-4a70-afe1-6c5f1feb88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982B81-D09C-4D9D-BC4C-D34E5ED95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a086d-1046-423b-818b-e2fe3b4bdd27"/>
    <ds:schemaRef ds:uri="ef2d8ab9-6557-4a70-afe1-6c5f1feb8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8AEEE9-AC45-4FA1-9978-A76AA3BFDEC3}">
  <ds:schemaRefs>
    <ds:schemaRef ds:uri="http://schemas.microsoft.com/sharepoint/v3/contenttype/forms"/>
  </ds:schemaRefs>
</ds:datastoreItem>
</file>

<file path=customXml/itemProps3.xml><?xml version="1.0" encoding="utf-8"?>
<ds:datastoreItem xmlns:ds="http://schemas.openxmlformats.org/officeDocument/2006/customXml" ds:itemID="{925B6746-79C0-4F60-BFBC-D8C8449A4973}">
  <ds:schemaRefs>
    <ds:schemaRef ds:uri="http://schemas.openxmlformats.org/officeDocument/2006/bibliography"/>
  </ds:schemaRefs>
</ds:datastoreItem>
</file>

<file path=customXml/itemProps4.xml><?xml version="1.0" encoding="utf-8"?>
<ds:datastoreItem xmlns:ds="http://schemas.openxmlformats.org/officeDocument/2006/customXml" ds:itemID="{AFFB1FDC-2114-46A0-A065-E6612AF514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IOPP-WordTemplateLarge.dotx</Template>
  <TotalTime>324</TotalTime>
  <Pages>7</Pages>
  <Words>2337</Words>
  <Characters>13323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Eggleton</dc:creator>
  <cp:keywords/>
  <dc:description/>
  <cp:lastModifiedBy>Ricky Aguirre-Escobar</cp:lastModifiedBy>
  <cp:revision>33</cp:revision>
  <cp:lastPrinted>2023-06-26T22:56:00Z</cp:lastPrinted>
  <dcterms:created xsi:type="dcterms:W3CDTF">2023-06-22T20:36:00Z</dcterms:created>
  <dcterms:modified xsi:type="dcterms:W3CDTF">2023-06-27T23:20:00Z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0x010100471C7F2C478A9C418F3B8A479E2B888D</vt:lpwstr>
  </property>
</Properties>
</file>