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320AE" w14:textId="267B9572" w:rsidR="001B341B" w:rsidRPr="00D719B6" w:rsidRDefault="001035D9" w:rsidP="00A1575C">
      <w:pPr>
        <w:pStyle w:val="IOPTitle"/>
        <w:spacing w:after="360"/>
        <w:rPr>
          <w:rFonts w:asciiTheme="minorHAnsi" w:hAnsiTheme="minorHAnsi" w:cstheme="minorHAnsi"/>
        </w:rPr>
      </w:pPr>
      <w:r w:rsidRPr="00D719B6">
        <w:rPr>
          <w:rStyle w:val="IOPTitleChar"/>
          <w:rFonts w:asciiTheme="minorHAnsi" w:hAnsiTheme="minorHAnsi" w:cstheme="minorHAnsi"/>
          <w:b/>
        </w:rPr>
        <w:t>Factors Associated with Naloxone Usage in a Community Teaching Hospital</w:t>
      </w:r>
    </w:p>
    <w:p w14:paraId="6C897B70" w14:textId="5A0FFD6D" w:rsidR="00D43152" w:rsidRPr="00D719B6" w:rsidRDefault="005C5AFD" w:rsidP="00717D41">
      <w:pPr>
        <w:pStyle w:val="IOPAuthor"/>
        <w:spacing w:after="0"/>
        <w:rPr>
          <w:rFonts w:asciiTheme="minorHAnsi" w:hAnsiTheme="minorHAnsi" w:cstheme="minorHAnsi"/>
          <w:sz w:val="32"/>
          <w:szCs w:val="24"/>
          <w:vertAlign w:val="superscript"/>
        </w:rPr>
      </w:pPr>
      <w:r>
        <w:rPr>
          <w:rFonts w:asciiTheme="minorHAnsi" w:hAnsiTheme="minorHAnsi" w:cstheme="minorHAnsi"/>
          <w:sz w:val="32"/>
          <w:szCs w:val="24"/>
        </w:rPr>
        <w:t>Phil Pharmacy</w:t>
      </w:r>
      <w:r w:rsidR="00653D32" w:rsidRPr="00D719B6">
        <w:rPr>
          <w:rFonts w:asciiTheme="minorHAnsi" w:hAnsiTheme="minorHAnsi" w:cstheme="minorHAnsi"/>
          <w:sz w:val="32"/>
          <w:szCs w:val="24"/>
        </w:rPr>
        <w:t>, PharmD</w:t>
      </w:r>
    </w:p>
    <w:p w14:paraId="41BB6526" w14:textId="10792CEA" w:rsidR="00D74B07" w:rsidRPr="00D719B6" w:rsidRDefault="005C5AFD" w:rsidP="00717D41">
      <w:pPr>
        <w:pStyle w:val="IOPAff"/>
        <w:rPr>
          <w:rFonts w:asciiTheme="minorHAnsi" w:hAnsiTheme="minorHAnsi" w:cstheme="minorHAnsi"/>
          <w:sz w:val="32"/>
          <w:szCs w:val="24"/>
        </w:rPr>
      </w:pPr>
      <w:r>
        <w:rPr>
          <w:rFonts w:asciiTheme="minorHAnsi" w:hAnsiTheme="minorHAnsi" w:cstheme="minorHAnsi"/>
          <w:sz w:val="32"/>
          <w:szCs w:val="24"/>
        </w:rPr>
        <w:t>Not-a-real</w:t>
      </w:r>
      <w:r w:rsidR="00EF41B5" w:rsidRPr="00D719B6">
        <w:rPr>
          <w:rFonts w:asciiTheme="minorHAnsi" w:hAnsiTheme="minorHAnsi" w:cstheme="minorHAnsi"/>
          <w:sz w:val="32"/>
          <w:szCs w:val="24"/>
        </w:rPr>
        <w:t xml:space="preserve"> Hospital</w:t>
      </w:r>
      <w:r w:rsidR="00D43152" w:rsidRPr="00D719B6">
        <w:rPr>
          <w:rFonts w:asciiTheme="minorHAnsi" w:hAnsiTheme="minorHAnsi" w:cstheme="minorHAnsi"/>
          <w:sz w:val="32"/>
          <w:szCs w:val="24"/>
        </w:rPr>
        <w:t xml:space="preserve">, </w:t>
      </w:r>
      <w:r>
        <w:rPr>
          <w:rFonts w:asciiTheme="minorHAnsi" w:hAnsiTheme="minorHAnsi" w:cstheme="minorHAnsi"/>
          <w:sz w:val="32"/>
          <w:szCs w:val="24"/>
        </w:rPr>
        <w:t>Reno</w:t>
      </w:r>
      <w:r w:rsidR="00D43152" w:rsidRPr="00D719B6">
        <w:rPr>
          <w:rFonts w:asciiTheme="minorHAnsi" w:hAnsiTheme="minorHAnsi" w:cstheme="minorHAnsi"/>
          <w:sz w:val="32"/>
          <w:szCs w:val="24"/>
        </w:rPr>
        <w:t xml:space="preserve">, </w:t>
      </w:r>
      <w:r w:rsidR="00A1575C" w:rsidRPr="00D719B6">
        <w:rPr>
          <w:rFonts w:asciiTheme="minorHAnsi" w:hAnsiTheme="minorHAnsi" w:cstheme="minorHAnsi"/>
          <w:sz w:val="32"/>
          <w:szCs w:val="24"/>
        </w:rPr>
        <w:t>NV</w:t>
      </w:r>
    </w:p>
    <w:p w14:paraId="4946AE69" w14:textId="1BC00FA5" w:rsidR="00717D41" w:rsidRPr="00A975EF" w:rsidRDefault="00717D41" w:rsidP="00717D41">
      <w:pPr>
        <w:pStyle w:val="IOPAff"/>
        <w:rPr>
          <w:rFonts w:asciiTheme="minorHAnsi" w:hAnsiTheme="minorHAnsi" w:cstheme="minorHAnsi"/>
          <w:sz w:val="20"/>
          <w:szCs w:val="24"/>
        </w:rPr>
      </w:pPr>
    </w:p>
    <w:p w14:paraId="3224F28D" w14:textId="1527337C" w:rsidR="00717D41" w:rsidRPr="00A975EF" w:rsidRDefault="005C5AFD" w:rsidP="00717D41">
      <w:pPr>
        <w:pStyle w:val="IOPAff"/>
        <w:rPr>
          <w:rFonts w:asciiTheme="minorHAnsi" w:hAnsiTheme="minorHAnsi" w:cstheme="minorHAnsi"/>
          <w:b/>
          <w:sz w:val="20"/>
          <w:szCs w:val="24"/>
        </w:rPr>
      </w:pPr>
      <w:r>
        <w:rPr>
          <w:rFonts w:asciiTheme="minorHAnsi" w:hAnsiTheme="minorHAnsi" w:cstheme="minorHAnsi"/>
          <w:b/>
          <w:sz w:val="20"/>
          <w:szCs w:val="24"/>
        </w:rPr>
        <w:t>Bill Researcher</w:t>
      </w:r>
      <w:r w:rsidR="00D719B6" w:rsidRPr="00A975EF">
        <w:rPr>
          <w:rFonts w:asciiTheme="minorHAnsi" w:hAnsiTheme="minorHAnsi" w:cstheme="minorHAnsi"/>
          <w:b/>
          <w:sz w:val="20"/>
          <w:szCs w:val="24"/>
        </w:rPr>
        <w:t>, PharmD, BCPS, BCCCP</w:t>
      </w:r>
    </w:p>
    <w:p w14:paraId="4248822C" w14:textId="1E150229" w:rsidR="00D74B07" w:rsidRPr="00A975EF" w:rsidRDefault="005C5AFD" w:rsidP="00D43152">
      <w:pPr>
        <w:pStyle w:val="IOPAff"/>
        <w:rPr>
          <w:rFonts w:asciiTheme="minorHAnsi" w:hAnsiTheme="minorHAnsi" w:cstheme="minorHAnsi"/>
          <w:sz w:val="20"/>
          <w:szCs w:val="24"/>
        </w:rPr>
      </w:pPr>
      <w:r>
        <w:rPr>
          <w:rFonts w:asciiTheme="minorHAnsi" w:hAnsiTheme="minorHAnsi" w:cstheme="minorHAnsi"/>
          <w:sz w:val="20"/>
          <w:szCs w:val="24"/>
        </w:rPr>
        <w:t>Not-a-real Hospital, Reno</w:t>
      </w:r>
      <w:r w:rsidR="00D719B6" w:rsidRPr="00A975EF">
        <w:rPr>
          <w:rFonts w:asciiTheme="minorHAnsi" w:hAnsiTheme="minorHAnsi" w:cstheme="minorHAnsi"/>
          <w:sz w:val="20"/>
          <w:szCs w:val="24"/>
        </w:rPr>
        <w:t>, NV</w:t>
      </w:r>
    </w:p>
    <w:p w14:paraId="0D42C28F" w14:textId="0B5A5BC5" w:rsidR="00D719B6" w:rsidRPr="00A975EF" w:rsidRDefault="00D719B6" w:rsidP="00D43152">
      <w:pPr>
        <w:pStyle w:val="IOPAff"/>
        <w:rPr>
          <w:rFonts w:asciiTheme="minorHAnsi" w:hAnsiTheme="minorHAnsi" w:cstheme="minorHAnsi"/>
          <w:sz w:val="20"/>
          <w:szCs w:val="24"/>
        </w:rPr>
      </w:pPr>
    </w:p>
    <w:p w14:paraId="247F4C17" w14:textId="35DF0D9C" w:rsidR="00D719B6" w:rsidRPr="00A975EF" w:rsidRDefault="005C5AFD" w:rsidP="00D43152">
      <w:pPr>
        <w:pStyle w:val="IOPAff"/>
        <w:rPr>
          <w:rFonts w:asciiTheme="minorHAnsi" w:hAnsiTheme="minorHAnsi" w:cstheme="minorHAnsi"/>
          <w:b/>
          <w:sz w:val="20"/>
          <w:szCs w:val="24"/>
        </w:rPr>
      </w:pPr>
      <w:r>
        <w:rPr>
          <w:rFonts w:asciiTheme="minorHAnsi" w:hAnsiTheme="minorHAnsi" w:cstheme="minorHAnsi"/>
          <w:b/>
          <w:sz w:val="20"/>
          <w:szCs w:val="24"/>
        </w:rPr>
        <w:t>Pills McAdams</w:t>
      </w:r>
      <w:r w:rsidR="00D719B6" w:rsidRPr="00A975EF">
        <w:rPr>
          <w:rFonts w:asciiTheme="minorHAnsi" w:hAnsiTheme="minorHAnsi" w:cstheme="minorHAnsi"/>
          <w:b/>
          <w:sz w:val="20"/>
          <w:szCs w:val="24"/>
        </w:rPr>
        <w:t>, PharmD, BCPS</w:t>
      </w:r>
    </w:p>
    <w:p w14:paraId="4F542B92" w14:textId="19F552B1" w:rsidR="00D719B6" w:rsidRPr="00A975EF" w:rsidRDefault="005C5AFD" w:rsidP="00D43152">
      <w:pPr>
        <w:pStyle w:val="IOPAff"/>
        <w:rPr>
          <w:rFonts w:asciiTheme="minorHAnsi" w:hAnsiTheme="minorHAnsi" w:cstheme="minorHAnsi"/>
          <w:sz w:val="20"/>
          <w:szCs w:val="24"/>
        </w:rPr>
      </w:pPr>
      <w:r>
        <w:rPr>
          <w:rFonts w:asciiTheme="minorHAnsi" w:hAnsiTheme="minorHAnsi" w:cstheme="minorHAnsi"/>
          <w:sz w:val="20"/>
          <w:szCs w:val="24"/>
        </w:rPr>
        <w:t>Not-a-real Hospital, Reno</w:t>
      </w:r>
      <w:r w:rsidR="00D719B6" w:rsidRPr="00A975EF">
        <w:rPr>
          <w:rFonts w:asciiTheme="minorHAnsi" w:hAnsiTheme="minorHAnsi" w:cstheme="minorHAnsi"/>
          <w:sz w:val="20"/>
          <w:szCs w:val="24"/>
        </w:rPr>
        <w:t>, NV</w:t>
      </w:r>
    </w:p>
    <w:p w14:paraId="4ADE9455" w14:textId="140BCA08" w:rsidR="00D719B6" w:rsidRPr="00A975EF" w:rsidRDefault="005C5AFD" w:rsidP="00D43152">
      <w:pPr>
        <w:pStyle w:val="IOPAff"/>
        <w:rPr>
          <w:rFonts w:asciiTheme="minorHAnsi" w:hAnsiTheme="minorHAnsi" w:cstheme="minorHAnsi"/>
          <w:sz w:val="20"/>
          <w:szCs w:val="24"/>
        </w:rPr>
      </w:pPr>
      <w:r>
        <w:rPr>
          <w:rFonts w:asciiTheme="minorHAnsi" w:hAnsiTheme="minorHAnsi" w:cstheme="minorHAnsi"/>
          <w:sz w:val="20"/>
          <w:szCs w:val="24"/>
        </w:rPr>
        <w:t>Goodstudy</w:t>
      </w:r>
      <w:r w:rsidR="00D719B6" w:rsidRPr="00A975EF">
        <w:rPr>
          <w:rFonts w:asciiTheme="minorHAnsi" w:hAnsiTheme="minorHAnsi" w:cstheme="minorHAnsi"/>
          <w:sz w:val="20"/>
          <w:szCs w:val="24"/>
        </w:rPr>
        <w:t xml:space="preserve"> University, </w:t>
      </w:r>
      <w:r>
        <w:rPr>
          <w:rFonts w:asciiTheme="minorHAnsi" w:hAnsiTheme="minorHAnsi" w:cstheme="minorHAnsi"/>
          <w:sz w:val="20"/>
          <w:szCs w:val="24"/>
        </w:rPr>
        <w:t>Reno</w:t>
      </w:r>
      <w:r w:rsidR="00D719B6" w:rsidRPr="00A975EF">
        <w:rPr>
          <w:rFonts w:asciiTheme="minorHAnsi" w:hAnsiTheme="minorHAnsi" w:cstheme="minorHAnsi"/>
          <w:sz w:val="20"/>
          <w:szCs w:val="24"/>
        </w:rPr>
        <w:t>, NV</w:t>
      </w:r>
    </w:p>
    <w:p w14:paraId="72B6A560" w14:textId="3765E124" w:rsidR="00D74B07" w:rsidRPr="00A975EF" w:rsidRDefault="00D74B07" w:rsidP="00D74B07">
      <w:pPr>
        <w:pStyle w:val="IOPH1"/>
        <w:rPr>
          <w:rFonts w:asciiTheme="minorHAnsi" w:hAnsiTheme="minorHAnsi" w:cstheme="minorHAnsi"/>
          <w:sz w:val="24"/>
          <w:szCs w:val="20"/>
          <w:u w:val="single"/>
        </w:rPr>
      </w:pPr>
      <w:r w:rsidRPr="00A975EF">
        <w:rPr>
          <w:rFonts w:asciiTheme="minorHAnsi" w:hAnsiTheme="minorHAnsi" w:cstheme="minorHAnsi"/>
          <w:sz w:val="24"/>
          <w:szCs w:val="20"/>
          <w:u w:val="single"/>
        </w:rPr>
        <w:t>Abstract</w:t>
      </w:r>
      <w:r w:rsidR="00A975EF" w:rsidRPr="00A975EF">
        <w:rPr>
          <w:rFonts w:asciiTheme="minorHAnsi" w:hAnsiTheme="minorHAnsi" w:cstheme="minorHAnsi"/>
          <w:sz w:val="24"/>
          <w:szCs w:val="20"/>
          <w:u w:val="single"/>
        </w:rPr>
        <w:t>:</w:t>
      </w:r>
    </w:p>
    <w:p w14:paraId="743BB6CD" w14:textId="77777777" w:rsidR="00E00596" w:rsidRPr="00A975EF" w:rsidRDefault="000301B2" w:rsidP="001846C4">
      <w:pPr>
        <w:pStyle w:val="IOPAbsText"/>
        <w:ind w:right="12"/>
        <w:rPr>
          <w:b/>
          <w:bCs/>
          <w:noProof/>
          <w:szCs w:val="24"/>
        </w:rPr>
      </w:pPr>
      <w:r w:rsidRPr="00A975EF">
        <w:rPr>
          <w:b/>
          <w:bCs/>
          <w:noProof/>
          <w:szCs w:val="24"/>
        </w:rPr>
        <w:t>Background</w:t>
      </w:r>
      <w:r w:rsidR="00894AF3" w:rsidRPr="00A975EF">
        <w:rPr>
          <w:b/>
          <w:bCs/>
          <w:noProof/>
          <w:szCs w:val="24"/>
        </w:rPr>
        <w:t xml:space="preserve">  </w:t>
      </w:r>
    </w:p>
    <w:p w14:paraId="7D80E308" w14:textId="6F0F2BC9" w:rsidR="00894AF3" w:rsidRPr="00A975EF" w:rsidRDefault="003F72DD" w:rsidP="004E11FB">
      <w:pPr>
        <w:pStyle w:val="IOPAbsText"/>
        <w:spacing w:after="160"/>
        <w:ind w:right="14"/>
        <w:rPr>
          <w:noProof/>
          <w:sz w:val="18"/>
        </w:rPr>
      </w:pPr>
      <w:r w:rsidRPr="00A975EF">
        <w:t>Naloxone is a r</w:t>
      </w:r>
      <w:r w:rsidR="000E1913" w:rsidRPr="00A975EF">
        <w:t>eversal</w:t>
      </w:r>
      <w:r w:rsidRPr="00A975EF">
        <w:t xml:space="preserve"> medication</w:t>
      </w:r>
      <w:r w:rsidR="000E1913" w:rsidRPr="00A975EF">
        <w:t xml:space="preserve"> for</w:t>
      </w:r>
      <w:r w:rsidRPr="00A975EF">
        <w:t xml:space="preserve"> suspected or confirmed opioid overdose. I</w:t>
      </w:r>
      <w:r w:rsidR="00865D66" w:rsidRPr="00A975EF">
        <w:t>t</w:t>
      </w:r>
      <w:r w:rsidRPr="00A975EF">
        <w:t xml:space="preserve"> reverses the effects of opioids, such as sedation and respiratory depression</w:t>
      </w:r>
      <w:r w:rsidR="00865D66" w:rsidRPr="00A975EF">
        <w:t>, via opioid receptor antagonism</w:t>
      </w:r>
      <w:r w:rsidRPr="00A975EF">
        <w:t xml:space="preserve">. Patients who are a higher risk of </w:t>
      </w:r>
      <w:r w:rsidR="00305A78" w:rsidRPr="00A975EF">
        <w:t>over sedation</w:t>
      </w:r>
      <w:r w:rsidRPr="00A975EF">
        <w:t xml:space="preserve"> or respiratory depression should be identified so alternative agents or lower doses of opioids can be utilized</w:t>
      </w:r>
      <w:r w:rsidR="00007E3B" w:rsidRPr="00A975EF">
        <w:t xml:space="preserve"> to prevent naloxone utilization</w:t>
      </w:r>
      <w:r w:rsidRPr="00A975EF">
        <w:t xml:space="preserve">. Recent literature suggests </w:t>
      </w:r>
      <w:r w:rsidR="00FE4B89" w:rsidRPr="00A975EF">
        <w:t xml:space="preserve">there may be patterns </w:t>
      </w:r>
      <w:r w:rsidR="00E76198" w:rsidRPr="00A975EF">
        <w:t xml:space="preserve">in naloxone use </w:t>
      </w:r>
      <w:r w:rsidR="00BE3E91" w:rsidRPr="00A975EF">
        <w:t>based on</w:t>
      </w:r>
      <w:r w:rsidR="00151875" w:rsidRPr="00A975EF">
        <w:t xml:space="preserve"> patient-specific</w:t>
      </w:r>
      <w:r w:rsidRPr="00A975EF">
        <w:t xml:space="preserve"> factors.</w:t>
      </w:r>
      <w:r w:rsidR="00CB4F73" w:rsidRPr="00A975EF">
        <w:t xml:space="preserve"> </w:t>
      </w:r>
      <w:r w:rsidR="007722DD" w:rsidRPr="00A975EF">
        <w:t xml:space="preserve">More data is needed to further validate these </w:t>
      </w:r>
      <w:r w:rsidR="00BE3E91" w:rsidRPr="00A975EF">
        <w:t>factors.</w:t>
      </w:r>
    </w:p>
    <w:p w14:paraId="163FE323" w14:textId="77777777" w:rsidR="00E00596" w:rsidRPr="00A975EF" w:rsidRDefault="00894AF3" w:rsidP="00E249FB">
      <w:pPr>
        <w:pStyle w:val="IOPAbsText"/>
        <w:ind w:right="12"/>
        <w:rPr>
          <w:noProof/>
          <w:szCs w:val="24"/>
        </w:rPr>
      </w:pPr>
      <w:r w:rsidRPr="00A975EF">
        <w:rPr>
          <w:b/>
          <w:bCs/>
          <w:noProof/>
          <w:szCs w:val="24"/>
        </w:rPr>
        <w:t>Methods</w:t>
      </w:r>
      <w:r w:rsidRPr="00A975EF">
        <w:rPr>
          <w:noProof/>
          <w:szCs w:val="24"/>
        </w:rPr>
        <w:t xml:space="preserve">  </w:t>
      </w:r>
    </w:p>
    <w:p w14:paraId="330D07C4" w14:textId="1B8E4520" w:rsidR="00894AF3" w:rsidRPr="00A975EF" w:rsidRDefault="00290D79" w:rsidP="004E11FB">
      <w:pPr>
        <w:pStyle w:val="IOPAbsText"/>
        <w:spacing w:after="160"/>
        <w:ind w:right="14"/>
        <w:rPr>
          <w:noProof/>
          <w:sz w:val="18"/>
        </w:rPr>
      </w:pPr>
      <w:r w:rsidRPr="00A975EF">
        <w:t xml:space="preserve">This was a </w:t>
      </w:r>
      <w:r w:rsidR="00E249FB" w:rsidRPr="00A975EF">
        <w:t xml:space="preserve">retrospective, observational study to assess potential factors that could lead to naloxone administration. </w:t>
      </w:r>
      <w:r w:rsidR="00447A08" w:rsidRPr="00A975EF">
        <w:t xml:space="preserve">11,491 patients who received an opioid </w:t>
      </w:r>
      <w:r w:rsidR="00337E77" w:rsidRPr="00A975EF">
        <w:t xml:space="preserve">were reviewed for inclusion. Patients were </w:t>
      </w:r>
      <w:r w:rsidR="00D304D8" w:rsidRPr="00A975EF">
        <w:t xml:space="preserve">included </w:t>
      </w:r>
      <w:r w:rsidR="004F2D8B" w:rsidRPr="00A975EF">
        <w:t>if they received an opioid</w:t>
      </w:r>
      <w:r w:rsidR="00985703" w:rsidRPr="00A975EF">
        <w:t xml:space="preserve"> and naloxone within 12 hours.</w:t>
      </w:r>
      <w:r w:rsidR="00E00596" w:rsidRPr="00A975EF">
        <w:t xml:space="preserve"> Patients were excluded if </w:t>
      </w:r>
      <w:r w:rsidR="005315B5" w:rsidRPr="00A975EF">
        <w:t xml:space="preserve">they </w:t>
      </w:r>
      <w:r w:rsidR="007E5F4B" w:rsidRPr="00A975EF">
        <w:t>were in</w:t>
      </w:r>
      <w:r w:rsidR="005315B5" w:rsidRPr="00A975EF">
        <w:t xml:space="preserve"> the emergency department or surg</w:t>
      </w:r>
      <w:r w:rsidR="007E5F4B" w:rsidRPr="00A975EF">
        <w:t>ical</w:t>
      </w:r>
      <w:r w:rsidR="005315B5" w:rsidRPr="00A975EF">
        <w:t xml:space="preserve"> units and if</w:t>
      </w:r>
      <w:r w:rsidR="00073620" w:rsidRPr="00A975EF">
        <w:t xml:space="preserve"> naloxone was administered within 24 hours of admission. </w:t>
      </w:r>
    </w:p>
    <w:p w14:paraId="289CFE8D" w14:textId="7151803F" w:rsidR="00894AF3" w:rsidRPr="00A975EF" w:rsidRDefault="00894AF3" w:rsidP="00D74B07">
      <w:pPr>
        <w:pStyle w:val="IOPAbsText"/>
        <w:rPr>
          <w:b/>
          <w:bCs/>
          <w:noProof/>
          <w:szCs w:val="24"/>
        </w:rPr>
      </w:pPr>
      <w:r w:rsidRPr="00A975EF">
        <w:rPr>
          <w:b/>
          <w:bCs/>
          <w:noProof/>
          <w:szCs w:val="24"/>
        </w:rPr>
        <w:t xml:space="preserve">Results  </w:t>
      </w:r>
    </w:p>
    <w:p w14:paraId="7A88DFAA" w14:textId="72E146DB" w:rsidR="00894AF3" w:rsidRPr="00A975EF" w:rsidRDefault="00145D06" w:rsidP="004E11FB">
      <w:pPr>
        <w:pStyle w:val="IOPAbsText"/>
        <w:spacing w:after="160"/>
        <w:ind w:right="14"/>
        <w:rPr>
          <w:noProof/>
          <w:szCs w:val="24"/>
        </w:rPr>
      </w:pPr>
      <w:r w:rsidRPr="00A975EF">
        <w:rPr>
          <w:noProof/>
          <w:szCs w:val="24"/>
        </w:rPr>
        <w:t>In the six month period, 11,491 patients received</w:t>
      </w:r>
      <w:r w:rsidR="00B64F35" w:rsidRPr="00A975EF">
        <w:rPr>
          <w:noProof/>
          <w:szCs w:val="24"/>
        </w:rPr>
        <w:t xml:space="preserve"> at least one opioid. Of those patients, </w:t>
      </w:r>
      <w:r w:rsidR="00BF3D98" w:rsidRPr="00A975EF">
        <w:rPr>
          <w:noProof/>
          <w:szCs w:val="24"/>
        </w:rPr>
        <w:t xml:space="preserve">47 patients were eligible of analysis. </w:t>
      </w:r>
      <w:r w:rsidR="00F3175C" w:rsidRPr="00A975EF">
        <w:t>Statistically significant outcomes</w:t>
      </w:r>
      <w:r w:rsidR="00882AE6" w:rsidRPr="00A975EF">
        <w:t xml:space="preserve"> were found</w:t>
      </w:r>
      <w:r w:rsidR="00F3175C" w:rsidRPr="00A975EF">
        <w:t xml:space="preserve"> for increased risk of naloxone for patients 65 years of age</w:t>
      </w:r>
      <w:r w:rsidR="00DD3631" w:rsidRPr="00A975EF">
        <w:t xml:space="preserve"> or older</w:t>
      </w:r>
      <w:r w:rsidR="00F3175C" w:rsidRPr="00A975EF">
        <w:t>, an ICD-10 coded diagnosis of heart failure,</w:t>
      </w:r>
      <w:r w:rsidR="00414FA4" w:rsidRPr="00A975EF">
        <w:t xml:space="preserve"> and</w:t>
      </w:r>
      <w:r w:rsidR="00F3175C" w:rsidRPr="00A975EF">
        <w:t xml:space="preserve"> an ICD-10 coded diagnosis of renal impairment</w:t>
      </w:r>
      <w:r w:rsidR="00414FA4" w:rsidRPr="00A975EF">
        <w:t>.</w:t>
      </w:r>
      <w:r w:rsidR="00F3175C" w:rsidRPr="00A975EF">
        <w:t xml:space="preserve"> There was</w:t>
      </w:r>
      <w:r w:rsidR="00414FA4" w:rsidRPr="00A975EF">
        <w:t xml:space="preserve"> </w:t>
      </w:r>
      <w:r w:rsidR="00F3175C" w:rsidRPr="00A975EF">
        <w:t>a statistically significant difference noted in route of opioid administration when comparing oral, intravenous, and transdermal routes.</w:t>
      </w:r>
    </w:p>
    <w:p w14:paraId="51CE5498" w14:textId="0194775C" w:rsidR="00894AF3" w:rsidRPr="00A975EF" w:rsidRDefault="00894AF3" w:rsidP="00D74B07">
      <w:pPr>
        <w:pStyle w:val="IOPAbsText"/>
        <w:rPr>
          <w:b/>
          <w:bCs/>
          <w:noProof/>
          <w:szCs w:val="24"/>
        </w:rPr>
      </w:pPr>
      <w:r w:rsidRPr="00A975EF">
        <w:rPr>
          <w:b/>
          <w:bCs/>
          <w:noProof/>
          <w:szCs w:val="24"/>
        </w:rPr>
        <w:t xml:space="preserve">Conclusion  </w:t>
      </w:r>
    </w:p>
    <w:p w14:paraId="37B3BC78" w14:textId="79A55543" w:rsidR="003149A2" w:rsidRPr="00A975EF" w:rsidRDefault="00227C2A" w:rsidP="00D12D8A">
      <w:pPr>
        <w:pStyle w:val="IOPAbsText"/>
        <w:ind w:right="12"/>
        <w:rPr>
          <w:noProof/>
          <w:szCs w:val="24"/>
        </w:rPr>
      </w:pPr>
      <w:r w:rsidRPr="00A975EF">
        <w:rPr>
          <w:noProof/>
          <w:szCs w:val="24"/>
        </w:rPr>
        <w:t xml:space="preserve">Patients </w:t>
      </w:r>
      <w:r w:rsidR="00A378CA" w:rsidRPr="00A975EF">
        <w:rPr>
          <w:noProof/>
          <w:szCs w:val="24"/>
        </w:rPr>
        <w:t>who are 65 years or older, have heart failure, and/or renal impairment</w:t>
      </w:r>
      <w:r w:rsidR="001103AB" w:rsidRPr="00A975EF">
        <w:rPr>
          <w:noProof/>
          <w:szCs w:val="24"/>
        </w:rPr>
        <w:t xml:space="preserve"> are a</w:t>
      </w:r>
      <w:r w:rsidR="00D12D8A" w:rsidRPr="00A975EF">
        <w:rPr>
          <w:noProof/>
          <w:szCs w:val="24"/>
        </w:rPr>
        <w:t xml:space="preserve">t </w:t>
      </w:r>
      <w:r w:rsidR="00E959E7" w:rsidRPr="00A975EF">
        <w:rPr>
          <w:noProof/>
          <w:szCs w:val="24"/>
        </w:rPr>
        <w:t xml:space="preserve">higher risk to receive naloxone after administration of an opioid. Further research is needed to </w:t>
      </w:r>
      <w:r w:rsidR="00B87206" w:rsidRPr="00A975EF">
        <w:rPr>
          <w:noProof/>
          <w:szCs w:val="24"/>
        </w:rPr>
        <w:t xml:space="preserve">see if there is a difference </w:t>
      </w:r>
      <w:r w:rsidR="0018090E" w:rsidRPr="00A975EF">
        <w:rPr>
          <w:noProof/>
          <w:szCs w:val="24"/>
        </w:rPr>
        <w:t>in naloxone</w:t>
      </w:r>
      <w:r w:rsidR="00E620CF" w:rsidRPr="00A975EF">
        <w:rPr>
          <w:noProof/>
          <w:szCs w:val="24"/>
        </w:rPr>
        <w:t xml:space="preserve"> use </w:t>
      </w:r>
      <w:r w:rsidR="00811A46" w:rsidRPr="00A975EF">
        <w:rPr>
          <w:noProof/>
          <w:szCs w:val="24"/>
        </w:rPr>
        <w:t>depending on opioid route of administration.</w:t>
      </w:r>
    </w:p>
    <w:p w14:paraId="3870213A" w14:textId="604E9FB8" w:rsidR="004D2E4E" w:rsidRPr="00A975EF" w:rsidRDefault="005223F4" w:rsidP="00A975EF">
      <w:pPr>
        <w:pStyle w:val="IOPKwd"/>
        <w:rPr>
          <w:rFonts w:asciiTheme="minorHAnsi" w:hAnsiTheme="minorHAnsi" w:cstheme="minorHAnsi"/>
          <w:sz w:val="18"/>
        </w:rPr>
        <w:sectPr w:rsidR="004D2E4E" w:rsidRPr="00A975EF" w:rsidSect="00717D41">
          <w:headerReference w:type="default" r:id="rId11"/>
          <w:footerReference w:type="default" r:id="rId12"/>
          <w:pgSz w:w="11906" w:h="16838"/>
          <w:pgMar w:top="1584" w:right="1008" w:bottom="1584" w:left="1008" w:header="720" w:footer="720" w:gutter="0"/>
          <w:cols w:space="708"/>
          <w:docGrid w:linePitch="360"/>
        </w:sectPr>
      </w:pPr>
      <w:r w:rsidRPr="00D719B6">
        <w:rPr>
          <w:rFonts w:asciiTheme="minorHAnsi" w:hAnsiTheme="minorHAnsi" w:cstheme="minorHAnsi"/>
          <w:sz w:val="18"/>
        </w:rPr>
        <w:t xml:space="preserve">Keywords: </w:t>
      </w:r>
      <w:r w:rsidR="00B7211F" w:rsidRPr="00D719B6">
        <w:rPr>
          <w:rFonts w:asciiTheme="minorHAnsi" w:hAnsiTheme="minorHAnsi" w:cstheme="minorHAnsi"/>
          <w:sz w:val="18"/>
        </w:rPr>
        <w:t xml:space="preserve">opioid, naloxone, </w:t>
      </w:r>
      <w:r w:rsidR="0043171A" w:rsidRPr="00D719B6">
        <w:rPr>
          <w:rFonts w:asciiTheme="minorHAnsi" w:hAnsiTheme="minorHAnsi" w:cstheme="minorHAnsi"/>
          <w:sz w:val="18"/>
        </w:rPr>
        <w:t>risk factor</w:t>
      </w:r>
    </w:p>
    <w:p w14:paraId="40B78164" w14:textId="6E1B70E2" w:rsidR="00A40AFB" w:rsidRPr="00A975EF" w:rsidRDefault="00A40AFB" w:rsidP="00A40AFB">
      <w:pPr>
        <w:pStyle w:val="IOPH1"/>
        <w:rPr>
          <w:rFonts w:ascii="Times New Roman" w:hAnsi="Times New Roman"/>
          <w:sz w:val="28"/>
          <w:szCs w:val="22"/>
        </w:rPr>
      </w:pPr>
      <w:r w:rsidRPr="00A975EF">
        <w:rPr>
          <w:rFonts w:ascii="Times New Roman" w:hAnsi="Times New Roman"/>
          <w:sz w:val="28"/>
          <w:szCs w:val="22"/>
        </w:rPr>
        <w:t xml:space="preserve">1. </w:t>
      </w:r>
      <w:r w:rsidR="004F1C46" w:rsidRPr="00A975EF">
        <w:rPr>
          <w:rFonts w:ascii="Times New Roman" w:hAnsi="Times New Roman"/>
          <w:sz w:val="28"/>
          <w:szCs w:val="22"/>
        </w:rPr>
        <w:t>Background</w:t>
      </w:r>
    </w:p>
    <w:p w14:paraId="4121276D" w14:textId="0EECDCCE" w:rsidR="00875FB3" w:rsidRPr="00A975EF" w:rsidRDefault="00D84AD9" w:rsidP="006340A3">
      <w:pPr>
        <w:pStyle w:val="IOPText"/>
        <w:rPr>
          <w:sz w:val="24"/>
          <w:szCs w:val="24"/>
          <w:vertAlign w:val="superscript"/>
        </w:rPr>
      </w:pPr>
      <w:r w:rsidRPr="00A975EF">
        <w:rPr>
          <w:sz w:val="24"/>
          <w:szCs w:val="24"/>
        </w:rPr>
        <w:t xml:space="preserve">Opioid-induced adverse effects, such as respiratory depression and altered mental status, are a significant risk for hospitalized patients. In a study published in 2014, Herzig and colleagues reviewed over a million admissions in 286 hospitals in the United States and found that 51% of patients received an opioid with 43% of those </w:t>
      </w:r>
      <w:r w:rsidRPr="00A975EF">
        <w:rPr>
          <w:sz w:val="24"/>
          <w:szCs w:val="24"/>
        </w:rPr>
        <w:t>receiving multiple opioid administrations and 52% receiving opioids on the day of discharge. They reported approximately 1% having a severe opioid-related adverse effect.</w:t>
      </w:r>
      <w:r w:rsidR="001C11A5" w:rsidRPr="00A975EF">
        <w:rPr>
          <w:sz w:val="24"/>
          <w:szCs w:val="24"/>
          <w:vertAlign w:val="superscript"/>
        </w:rPr>
        <w:t>1</w:t>
      </w:r>
      <w:r w:rsidRPr="00A975EF">
        <w:rPr>
          <w:sz w:val="24"/>
          <w:szCs w:val="24"/>
        </w:rPr>
        <w:t xml:space="preserve"> </w:t>
      </w:r>
      <w:r w:rsidR="001C11A5" w:rsidRPr="00A975EF">
        <w:rPr>
          <w:sz w:val="24"/>
          <w:szCs w:val="24"/>
        </w:rPr>
        <w:t>Fortunately</w:t>
      </w:r>
      <w:r w:rsidRPr="00A975EF">
        <w:rPr>
          <w:sz w:val="24"/>
          <w:szCs w:val="24"/>
        </w:rPr>
        <w:t xml:space="preserve">, </w:t>
      </w:r>
      <w:r w:rsidR="009136FD" w:rsidRPr="00A975EF">
        <w:rPr>
          <w:sz w:val="24"/>
          <w:szCs w:val="24"/>
        </w:rPr>
        <w:t xml:space="preserve">naloxone </w:t>
      </w:r>
      <w:r w:rsidRPr="00A975EF">
        <w:rPr>
          <w:sz w:val="24"/>
          <w:szCs w:val="24"/>
        </w:rPr>
        <w:t>is a reversal</w:t>
      </w:r>
      <w:r w:rsidR="001C11A5" w:rsidRPr="00A975EF">
        <w:rPr>
          <w:sz w:val="24"/>
          <w:szCs w:val="24"/>
        </w:rPr>
        <w:t xml:space="preserve"> agent</w:t>
      </w:r>
      <w:r w:rsidR="00D8382F" w:rsidRPr="00A975EF">
        <w:rPr>
          <w:sz w:val="24"/>
          <w:szCs w:val="24"/>
        </w:rPr>
        <w:t xml:space="preserve"> made specifically</w:t>
      </w:r>
      <w:r w:rsidRPr="00A975EF">
        <w:rPr>
          <w:sz w:val="24"/>
          <w:szCs w:val="24"/>
        </w:rPr>
        <w:t xml:space="preserve"> for these opioid-induced complications. Naloxone is an opioid antagonist that competitively blocks opioid receptors in the central nervous system</w:t>
      </w:r>
      <w:r w:rsidR="001D65AA" w:rsidRPr="00A975EF">
        <w:rPr>
          <w:sz w:val="24"/>
          <w:szCs w:val="24"/>
        </w:rPr>
        <w:t xml:space="preserve"> </w:t>
      </w:r>
      <w:r w:rsidR="001D65AA" w:rsidRPr="00A975EF">
        <w:rPr>
          <w:sz w:val="24"/>
          <w:szCs w:val="24"/>
        </w:rPr>
        <w:lastRenderedPageBreak/>
        <w:t>(CNS)</w:t>
      </w:r>
      <w:r w:rsidRPr="00A975EF">
        <w:rPr>
          <w:sz w:val="24"/>
          <w:szCs w:val="24"/>
        </w:rPr>
        <w:t xml:space="preserve">. The approved routes of administration are intravenous, intramuscular, subcutaneous, and intranasal. </w:t>
      </w:r>
      <w:r w:rsidR="004B622E" w:rsidRPr="00A975EF">
        <w:rPr>
          <w:sz w:val="24"/>
          <w:szCs w:val="24"/>
        </w:rPr>
        <w:t xml:space="preserve">There is also evidence to support </w:t>
      </w:r>
      <w:r w:rsidRPr="00A975EF">
        <w:rPr>
          <w:sz w:val="24"/>
          <w:szCs w:val="24"/>
        </w:rPr>
        <w:t>administ</w:t>
      </w:r>
      <w:r w:rsidR="004B622E" w:rsidRPr="00A975EF">
        <w:rPr>
          <w:sz w:val="24"/>
          <w:szCs w:val="24"/>
        </w:rPr>
        <w:t>ration</w:t>
      </w:r>
      <w:r w:rsidRPr="00A975EF">
        <w:rPr>
          <w:sz w:val="24"/>
          <w:szCs w:val="24"/>
        </w:rPr>
        <w:t xml:space="preserve"> via inhalation, </w:t>
      </w:r>
      <w:r w:rsidR="00B374D2" w:rsidRPr="00A975EF">
        <w:rPr>
          <w:sz w:val="24"/>
          <w:szCs w:val="24"/>
        </w:rPr>
        <w:t>intraosseous</w:t>
      </w:r>
      <w:r w:rsidRPr="00A975EF">
        <w:rPr>
          <w:sz w:val="24"/>
          <w:szCs w:val="24"/>
        </w:rPr>
        <w:t xml:space="preserve">, and endotracheal routes. Naloxone is effective and has a relatively safe side effect profile. However, in a </w:t>
      </w:r>
      <w:r w:rsidR="00AD2E45" w:rsidRPr="00A975EF">
        <w:rPr>
          <w:sz w:val="24"/>
          <w:szCs w:val="24"/>
        </w:rPr>
        <w:t xml:space="preserve">recent </w:t>
      </w:r>
      <w:r w:rsidRPr="00A975EF">
        <w:rPr>
          <w:sz w:val="24"/>
          <w:szCs w:val="24"/>
        </w:rPr>
        <w:t xml:space="preserve">study published </w:t>
      </w:r>
      <w:r w:rsidR="00AD2E45" w:rsidRPr="00A975EF">
        <w:rPr>
          <w:sz w:val="24"/>
          <w:szCs w:val="24"/>
        </w:rPr>
        <w:t xml:space="preserve">by </w:t>
      </w:r>
      <w:r w:rsidRPr="00A975EF">
        <w:rPr>
          <w:sz w:val="24"/>
          <w:szCs w:val="24"/>
        </w:rPr>
        <w:t>Farkas and colleagues</w:t>
      </w:r>
      <w:r w:rsidR="00AD2E45" w:rsidRPr="00A975EF">
        <w:rPr>
          <w:sz w:val="24"/>
          <w:szCs w:val="24"/>
        </w:rPr>
        <w:t>, they</w:t>
      </w:r>
      <w:r w:rsidRPr="00A975EF">
        <w:rPr>
          <w:sz w:val="24"/>
          <w:szCs w:val="24"/>
        </w:rPr>
        <w:t xml:space="preserve"> described </w:t>
      </w:r>
      <w:r w:rsidR="000C05AB" w:rsidRPr="00A975EF">
        <w:rPr>
          <w:sz w:val="24"/>
          <w:szCs w:val="24"/>
        </w:rPr>
        <w:t>an</w:t>
      </w:r>
      <w:r w:rsidRPr="00A975EF">
        <w:rPr>
          <w:sz w:val="24"/>
          <w:szCs w:val="24"/>
        </w:rPr>
        <w:t xml:space="preserve"> incidence of pulmonary complications, specifically non</w:t>
      </w:r>
      <w:r w:rsidR="00A975EF">
        <w:rPr>
          <w:sz w:val="24"/>
          <w:szCs w:val="24"/>
        </w:rPr>
        <w:t>-</w:t>
      </w:r>
      <w:r w:rsidRPr="00A975EF">
        <w:rPr>
          <w:sz w:val="24"/>
          <w:szCs w:val="24"/>
        </w:rPr>
        <w:t>cardiogenic pulmonary edema, after naloxone administration for opioid overdose to be about 1.1%. The mechanism of this is not well understood</w:t>
      </w:r>
      <w:r w:rsidR="000C05AB" w:rsidRPr="00A975EF">
        <w:rPr>
          <w:sz w:val="24"/>
          <w:szCs w:val="24"/>
        </w:rPr>
        <w:t>.</w:t>
      </w:r>
      <w:r w:rsidR="000C05AB" w:rsidRPr="00A975EF">
        <w:rPr>
          <w:sz w:val="24"/>
          <w:szCs w:val="24"/>
          <w:vertAlign w:val="superscript"/>
        </w:rPr>
        <w:t>2</w:t>
      </w:r>
    </w:p>
    <w:p w14:paraId="7E09450A" w14:textId="3CA933CB" w:rsidR="009936AC" w:rsidRPr="00A975EF" w:rsidRDefault="009936AC" w:rsidP="006340A3">
      <w:pPr>
        <w:pStyle w:val="IOPText"/>
        <w:rPr>
          <w:sz w:val="24"/>
          <w:szCs w:val="24"/>
        </w:rPr>
      </w:pPr>
      <w:r w:rsidRPr="00A975EF">
        <w:rPr>
          <w:sz w:val="24"/>
          <w:szCs w:val="24"/>
        </w:rPr>
        <w:t>A</w:t>
      </w:r>
      <w:r w:rsidR="00164FFA" w:rsidRPr="00A975EF">
        <w:rPr>
          <w:sz w:val="24"/>
          <w:szCs w:val="24"/>
        </w:rPr>
        <w:t xml:space="preserve"> </w:t>
      </w:r>
      <w:r w:rsidR="004C7721" w:rsidRPr="00A975EF">
        <w:rPr>
          <w:sz w:val="24"/>
          <w:szCs w:val="24"/>
        </w:rPr>
        <w:t>newly established</w:t>
      </w:r>
      <w:r w:rsidR="0062386E" w:rsidRPr="00A975EF">
        <w:rPr>
          <w:sz w:val="24"/>
          <w:szCs w:val="24"/>
        </w:rPr>
        <w:t xml:space="preserve"> institutional benchmark was set to keep </w:t>
      </w:r>
      <w:r w:rsidR="00DE6A28" w:rsidRPr="00A975EF">
        <w:rPr>
          <w:sz w:val="24"/>
          <w:szCs w:val="24"/>
        </w:rPr>
        <w:t xml:space="preserve">naloxone administrations at or below 0.5% of inpatients receiving opioids. This goal </w:t>
      </w:r>
      <w:r w:rsidR="007F17C3" w:rsidRPr="00A975EF">
        <w:rPr>
          <w:sz w:val="24"/>
          <w:szCs w:val="24"/>
        </w:rPr>
        <w:t xml:space="preserve">necessitated a review of naloxone usage in this facility. </w:t>
      </w:r>
    </w:p>
    <w:p w14:paraId="209C17FA" w14:textId="76754D3E" w:rsidR="001415B6" w:rsidRPr="00A975EF" w:rsidRDefault="007F17C3" w:rsidP="00101039">
      <w:pPr>
        <w:pStyle w:val="IOPText"/>
        <w:rPr>
          <w:noProof/>
          <w:sz w:val="24"/>
          <w:szCs w:val="24"/>
          <w:lang w:val="en-US"/>
        </w:rPr>
      </w:pPr>
      <w:r w:rsidRPr="00A975EF">
        <w:rPr>
          <w:noProof/>
          <w:sz w:val="24"/>
          <w:szCs w:val="24"/>
          <w:lang w:val="en-US"/>
        </w:rPr>
        <w:t>Recent</w:t>
      </w:r>
      <w:r w:rsidR="007F769E" w:rsidRPr="00A975EF">
        <w:rPr>
          <w:noProof/>
          <w:sz w:val="24"/>
          <w:szCs w:val="24"/>
          <w:lang w:val="en-US"/>
        </w:rPr>
        <w:t xml:space="preserve"> studies</w:t>
      </w:r>
      <w:r w:rsidRPr="00A975EF">
        <w:rPr>
          <w:noProof/>
          <w:sz w:val="24"/>
          <w:szCs w:val="24"/>
          <w:lang w:val="en-US"/>
        </w:rPr>
        <w:t xml:space="preserve"> have analyzed patterns of </w:t>
      </w:r>
      <w:r w:rsidR="007D2937" w:rsidRPr="00A975EF">
        <w:rPr>
          <w:noProof/>
          <w:sz w:val="24"/>
          <w:szCs w:val="24"/>
          <w:lang w:val="en-US"/>
        </w:rPr>
        <w:t xml:space="preserve">inpatient </w:t>
      </w:r>
      <w:r w:rsidRPr="00A975EF">
        <w:rPr>
          <w:noProof/>
          <w:sz w:val="24"/>
          <w:szCs w:val="24"/>
          <w:lang w:val="en-US"/>
        </w:rPr>
        <w:t>naloxone usage</w:t>
      </w:r>
      <w:r w:rsidR="00E4080E" w:rsidRPr="00A975EF">
        <w:rPr>
          <w:noProof/>
          <w:sz w:val="24"/>
          <w:szCs w:val="24"/>
          <w:lang w:val="en-US"/>
        </w:rPr>
        <w:t xml:space="preserve"> and</w:t>
      </w:r>
      <w:r w:rsidRPr="00A975EF">
        <w:rPr>
          <w:noProof/>
          <w:sz w:val="24"/>
          <w:szCs w:val="24"/>
          <w:lang w:val="en-US"/>
        </w:rPr>
        <w:t xml:space="preserve"> </w:t>
      </w:r>
      <w:r w:rsidR="007F769E" w:rsidRPr="00A975EF">
        <w:rPr>
          <w:noProof/>
          <w:sz w:val="24"/>
          <w:szCs w:val="24"/>
          <w:lang w:val="en-US"/>
        </w:rPr>
        <w:t xml:space="preserve"> have found that advanced age, obesity, heart failure, renal impairment, concurrent use of other </w:t>
      </w:r>
      <w:r w:rsidR="001D65AA" w:rsidRPr="00A975EF">
        <w:rPr>
          <w:noProof/>
          <w:sz w:val="24"/>
          <w:szCs w:val="24"/>
          <w:lang w:val="en-US"/>
        </w:rPr>
        <w:t>CNS</w:t>
      </w:r>
      <w:r w:rsidR="007F769E" w:rsidRPr="00A975EF">
        <w:rPr>
          <w:noProof/>
          <w:sz w:val="24"/>
          <w:szCs w:val="24"/>
          <w:lang w:val="en-US"/>
        </w:rPr>
        <w:t xml:space="preserve"> depressants, and sleep apnea have all be</w:t>
      </w:r>
      <w:r w:rsidR="00723E65" w:rsidRPr="00A975EF">
        <w:rPr>
          <w:noProof/>
          <w:sz w:val="24"/>
          <w:szCs w:val="24"/>
          <w:lang w:val="en-US"/>
        </w:rPr>
        <w:t>en</w:t>
      </w:r>
      <w:r w:rsidR="007F769E" w:rsidRPr="00A975EF">
        <w:rPr>
          <w:noProof/>
          <w:sz w:val="24"/>
          <w:szCs w:val="24"/>
          <w:lang w:val="en-US"/>
        </w:rPr>
        <w:t xml:space="preserve"> associated with a</w:t>
      </w:r>
      <w:r w:rsidR="00723E65" w:rsidRPr="00A975EF">
        <w:rPr>
          <w:noProof/>
          <w:sz w:val="24"/>
          <w:szCs w:val="24"/>
          <w:lang w:val="en-US"/>
        </w:rPr>
        <w:t>n</w:t>
      </w:r>
      <w:r w:rsidR="007F769E" w:rsidRPr="00A975EF">
        <w:rPr>
          <w:noProof/>
          <w:sz w:val="24"/>
          <w:szCs w:val="24"/>
          <w:lang w:val="en-US"/>
        </w:rPr>
        <w:t xml:space="preserve"> increased likelihood of naloxone administration during a hospital</w:t>
      </w:r>
      <w:r w:rsidR="000671C4" w:rsidRPr="00A975EF">
        <w:rPr>
          <w:noProof/>
          <w:sz w:val="24"/>
          <w:szCs w:val="24"/>
          <w:lang w:val="en-US"/>
        </w:rPr>
        <w:t xml:space="preserve"> admission</w:t>
      </w:r>
      <w:r w:rsidR="007F769E" w:rsidRPr="00A975EF">
        <w:rPr>
          <w:noProof/>
          <w:sz w:val="24"/>
          <w:szCs w:val="24"/>
          <w:lang w:val="en-US"/>
        </w:rPr>
        <w:t>.</w:t>
      </w:r>
      <w:r w:rsidR="0091472D" w:rsidRPr="00A975EF">
        <w:rPr>
          <w:noProof/>
          <w:sz w:val="24"/>
          <w:szCs w:val="24"/>
          <w:vertAlign w:val="superscript"/>
          <w:lang w:val="en-US"/>
        </w:rPr>
        <w:t>3.4</w:t>
      </w:r>
      <w:r w:rsidR="007F769E" w:rsidRPr="00A975EF">
        <w:rPr>
          <w:noProof/>
          <w:sz w:val="24"/>
          <w:szCs w:val="24"/>
          <w:lang w:val="en-US"/>
        </w:rPr>
        <w:t xml:space="preserve"> </w:t>
      </w:r>
      <w:r w:rsidR="007D2937" w:rsidRPr="00A975EF">
        <w:rPr>
          <w:noProof/>
          <w:sz w:val="24"/>
          <w:szCs w:val="24"/>
          <w:lang w:val="en-US"/>
        </w:rPr>
        <w:t xml:space="preserve">These studies are relatively small in nature, so </w:t>
      </w:r>
      <w:r w:rsidR="00DB2B5E" w:rsidRPr="00A975EF">
        <w:rPr>
          <w:noProof/>
          <w:sz w:val="24"/>
          <w:szCs w:val="24"/>
          <w:lang w:val="en-US"/>
        </w:rPr>
        <w:t>this</w:t>
      </w:r>
      <w:r w:rsidR="004547A7" w:rsidRPr="00A975EF">
        <w:rPr>
          <w:noProof/>
          <w:sz w:val="24"/>
          <w:szCs w:val="24"/>
          <w:lang w:val="en-US"/>
        </w:rPr>
        <w:t xml:space="preserve"> study was done </w:t>
      </w:r>
      <w:r w:rsidR="0091472D" w:rsidRPr="00A975EF">
        <w:rPr>
          <w:noProof/>
          <w:sz w:val="24"/>
          <w:szCs w:val="24"/>
          <w:lang w:val="en-US"/>
        </w:rPr>
        <w:t xml:space="preserve">to </w:t>
      </w:r>
      <w:r w:rsidR="00563B64" w:rsidRPr="00A975EF">
        <w:rPr>
          <w:noProof/>
          <w:sz w:val="24"/>
          <w:szCs w:val="24"/>
          <w:lang w:val="en-US"/>
        </w:rPr>
        <w:t>see if th</w:t>
      </w:r>
      <w:r w:rsidR="004547A7" w:rsidRPr="00A975EF">
        <w:rPr>
          <w:noProof/>
          <w:sz w:val="24"/>
          <w:szCs w:val="24"/>
          <w:lang w:val="en-US"/>
        </w:rPr>
        <w:t>e same</w:t>
      </w:r>
      <w:r w:rsidR="00563B64" w:rsidRPr="00A975EF">
        <w:rPr>
          <w:noProof/>
          <w:sz w:val="24"/>
          <w:szCs w:val="24"/>
          <w:lang w:val="en-US"/>
        </w:rPr>
        <w:t xml:space="preserve"> pattern </w:t>
      </w:r>
      <w:r w:rsidR="004547A7" w:rsidRPr="00A975EF">
        <w:rPr>
          <w:noProof/>
          <w:sz w:val="24"/>
          <w:szCs w:val="24"/>
          <w:lang w:val="en-US"/>
        </w:rPr>
        <w:t>can be</w:t>
      </w:r>
      <w:r w:rsidR="00563B64" w:rsidRPr="00A975EF">
        <w:rPr>
          <w:noProof/>
          <w:sz w:val="24"/>
          <w:szCs w:val="24"/>
          <w:lang w:val="en-US"/>
        </w:rPr>
        <w:t xml:space="preserve"> found in our institution</w:t>
      </w:r>
      <w:r w:rsidR="009E37C6" w:rsidRPr="00A975EF">
        <w:rPr>
          <w:noProof/>
          <w:sz w:val="24"/>
          <w:szCs w:val="24"/>
          <w:lang w:val="en-US"/>
        </w:rPr>
        <w:t>.</w:t>
      </w:r>
    </w:p>
    <w:p w14:paraId="622B60F5" w14:textId="10C14FD5" w:rsidR="00090614" w:rsidRPr="00A975EF" w:rsidRDefault="00101039" w:rsidP="00090614">
      <w:pPr>
        <w:spacing w:before="200" w:after="120"/>
        <w:rPr>
          <w:rFonts w:ascii="Times New Roman" w:hAnsi="Times New Roman"/>
          <w:b/>
          <w:sz w:val="28"/>
        </w:rPr>
      </w:pPr>
      <w:r w:rsidRPr="00A975EF">
        <w:rPr>
          <w:rFonts w:ascii="Times New Roman" w:hAnsi="Times New Roman"/>
          <w:b/>
          <w:sz w:val="28"/>
        </w:rPr>
        <w:t>2</w:t>
      </w:r>
      <w:r w:rsidR="00090614" w:rsidRPr="00A975EF">
        <w:rPr>
          <w:rFonts w:ascii="Times New Roman" w:hAnsi="Times New Roman"/>
          <w:b/>
          <w:sz w:val="28"/>
        </w:rPr>
        <w:t xml:space="preserve">. </w:t>
      </w:r>
      <w:r w:rsidRPr="00A975EF">
        <w:rPr>
          <w:rFonts w:ascii="Times New Roman" w:hAnsi="Times New Roman"/>
          <w:b/>
          <w:sz w:val="28"/>
        </w:rPr>
        <w:t>Methods</w:t>
      </w:r>
    </w:p>
    <w:p w14:paraId="629D0C82" w14:textId="00A1CA7B" w:rsidR="00742719" w:rsidRPr="00A975EF" w:rsidRDefault="00742719" w:rsidP="00807EC3">
      <w:pPr>
        <w:spacing w:after="0"/>
        <w:ind w:firstLine="230"/>
        <w:jc w:val="both"/>
        <w:rPr>
          <w:rFonts w:ascii="Times New Roman" w:hAnsi="Times New Roman"/>
          <w:sz w:val="24"/>
          <w:szCs w:val="24"/>
        </w:rPr>
      </w:pPr>
      <w:r w:rsidRPr="00A975EF">
        <w:rPr>
          <w:rFonts w:ascii="Times New Roman" w:hAnsi="Times New Roman"/>
          <w:sz w:val="24"/>
          <w:szCs w:val="24"/>
        </w:rPr>
        <w:t>This was a retrospective, observational study.</w:t>
      </w:r>
      <w:r w:rsidR="00685276" w:rsidRPr="00A975EF">
        <w:rPr>
          <w:rFonts w:ascii="Times New Roman" w:hAnsi="Times New Roman"/>
          <w:sz w:val="24"/>
          <w:szCs w:val="24"/>
        </w:rPr>
        <w:t xml:space="preserve"> </w:t>
      </w:r>
      <w:r w:rsidRPr="00A975EF">
        <w:rPr>
          <w:rFonts w:ascii="Times New Roman" w:hAnsi="Times New Roman"/>
          <w:sz w:val="24"/>
          <w:szCs w:val="24"/>
        </w:rPr>
        <w:t xml:space="preserve"> It took place from July 1 through December 31, 2019</w:t>
      </w:r>
      <w:r w:rsidR="005C5AFD">
        <w:rPr>
          <w:rFonts w:ascii="Times New Roman" w:hAnsi="Times New Roman"/>
          <w:sz w:val="24"/>
          <w:szCs w:val="24"/>
        </w:rPr>
        <w:t xml:space="preserve"> in a 325</w:t>
      </w:r>
      <w:bookmarkStart w:id="0" w:name="_GoBack"/>
      <w:bookmarkEnd w:id="0"/>
      <w:r w:rsidR="00B13C07" w:rsidRPr="00A975EF">
        <w:rPr>
          <w:rFonts w:ascii="Times New Roman" w:hAnsi="Times New Roman"/>
          <w:sz w:val="24"/>
          <w:szCs w:val="24"/>
        </w:rPr>
        <w:t>-bed community teaching hospital</w:t>
      </w:r>
      <w:r w:rsidRPr="00A975EF">
        <w:rPr>
          <w:rFonts w:ascii="Times New Roman" w:hAnsi="Times New Roman"/>
          <w:sz w:val="24"/>
          <w:szCs w:val="24"/>
        </w:rPr>
        <w:t xml:space="preserve">. </w:t>
      </w:r>
      <w:r w:rsidR="00E4440D" w:rsidRPr="00A975EF">
        <w:rPr>
          <w:rFonts w:ascii="Times New Roman" w:hAnsi="Times New Roman"/>
          <w:sz w:val="24"/>
          <w:szCs w:val="24"/>
        </w:rPr>
        <w:t xml:space="preserve">To be included </w:t>
      </w:r>
      <w:r w:rsidRPr="00A975EF">
        <w:rPr>
          <w:rFonts w:ascii="Times New Roman" w:hAnsi="Times New Roman"/>
          <w:sz w:val="24"/>
          <w:szCs w:val="24"/>
        </w:rPr>
        <w:t>patients</w:t>
      </w:r>
      <w:r w:rsidR="00E4440D" w:rsidRPr="00A975EF">
        <w:rPr>
          <w:rFonts w:ascii="Times New Roman" w:hAnsi="Times New Roman"/>
          <w:sz w:val="24"/>
          <w:szCs w:val="24"/>
        </w:rPr>
        <w:t xml:space="preserve"> needed to be</w:t>
      </w:r>
      <w:r w:rsidRPr="00A975EF">
        <w:rPr>
          <w:rFonts w:ascii="Times New Roman" w:hAnsi="Times New Roman"/>
          <w:sz w:val="24"/>
          <w:szCs w:val="24"/>
        </w:rPr>
        <w:t xml:space="preserve"> </w:t>
      </w:r>
      <w:r w:rsidR="00A829F5" w:rsidRPr="00A975EF">
        <w:rPr>
          <w:rFonts w:ascii="Times New Roman" w:hAnsi="Times New Roman"/>
          <w:sz w:val="24"/>
          <w:szCs w:val="24"/>
        </w:rPr>
        <w:t>eighteen</w:t>
      </w:r>
      <w:r w:rsidRPr="00A975EF">
        <w:rPr>
          <w:rFonts w:ascii="Times New Roman" w:hAnsi="Times New Roman"/>
          <w:sz w:val="24"/>
          <w:szCs w:val="24"/>
        </w:rPr>
        <w:t xml:space="preserve"> years of age or older and received at least one documented administration of naloxon</w:t>
      </w:r>
      <w:r w:rsidR="00D833AB" w:rsidRPr="00A975EF">
        <w:rPr>
          <w:rFonts w:ascii="Times New Roman" w:hAnsi="Times New Roman"/>
          <w:sz w:val="24"/>
          <w:szCs w:val="24"/>
        </w:rPr>
        <w:t>e</w:t>
      </w:r>
      <w:r w:rsidRPr="00A975EF">
        <w:rPr>
          <w:rFonts w:ascii="Times New Roman" w:hAnsi="Times New Roman"/>
          <w:sz w:val="24"/>
          <w:szCs w:val="24"/>
        </w:rPr>
        <w:t xml:space="preserve">. </w:t>
      </w:r>
      <w:r w:rsidR="00D833AB" w:rsidRPr="00A975EF">
        <w:rPr>
          <w:rFonts w:ascii="Times New Roman" w:hAnsi="Times New Roman"/>
          <w:sz w:val="24"/>
          <w:szCs w:val="24"/>
        </w:rPr>
        <w:t>E</w:t>
      </w:r>
      <w:r w:rsidRPr="00A975EF">
        <w:rPr>
          <w:rFonts w:ascii="Times New Roman" w:hAnsi="Times New Roman"/>
          <w:sz w:val="24"/>
          <w:szCs w:val="24"/>
        </w:rPr>
        <w:t>xclusion criteria</w:t>
      </w:r>
      <w:r w:rsidR="00D833AB" w:rsidRPr="00A975EF">
        <w:rPr>
          <w:rFonts w:ascii="Times New Roman" w:hAnsi="Times New Roman"/>
          <w:sz w:val="24"/>
          <w:szCs w:val="24"/>
        </w:rPr>
        <w:t xml:space="preserve"> consisted of</w:t>
      </w:r>
      <w:r w:rsidRPr="00A975EF">
        <w:rPr>
          <w:rFonts w:ascii="Times New Roman" w:hAnsi="Times New Roman"/>
          <w:sz w:val="24"/>
          <w:szCs w:val="24"/>
        </w:rPr>
        <w:t xml:space="preserve"> </w:t>
      </w:r>
      <w:r w:rsidR="00D833AB" w:rsidRPr="00A975EF">
        <w:rPr>
          <w:rFonts w:ascii="Times New Roman" w:hAnsi="Times New Roman"/>
          <w:sz w:val="24"/>
          <w:szCs w:val="24"/>
        </w:rPr>
        <w:t>p</w:t>
      </w:r>
      <w:r w:rsidRPr="00A975EF">
        <w:rPr>
          <w:rFonts w:ascii="Times New Roman" w:hAnsi="Times New Roman"/>
          <w:sz w:val="24"/>
          <w:szCs w:val="24"/>
        </w:rPr>
        <w:t>atients who were no</w:t>
      </w:r>
      <w:r w:rsidR="00D833AB" w:rsidRPr="00A975EF">
        <w:rPr>
          <w:rFonts w:ascii="Times New Roman" w:hAnsi="Times New Roman"/>
          <w:sz w:val="24"/>
          <w:szCs w:val="24"/>
        </w:rPr>
        <w:t>t</w:t>
      </w:r>
      <w:r w:rsidRPr="00A975EF">
        <w:rPr>
          <w:rFonts w:ascii="Times New Roman" w:hAnsi="Times New Roman"/>
          <w:sz w:val="24"/>
          <w:szCs w:val="24"/>
        </w:rPr>
        <w:t xml:space="preserve"> administered an opioid within </w:t>
      </w:r>
      <w:r w:rsidR="007C26D0" w:rsidRPr="00A975EF">
        <w:rPr>
          <w:rFonts w:ascii="Times New Roman" w:hAnsi="Times New Roman"/>
          <w:sz w:val="24"/>
          <w:szCs w:val="24"/>
        </w:rPr>
        <w:t>twelve</w:t>
      </w:r>
      <w:r w:rsidRPr="00A975EF">
        <w:rPr>
          <w:rFonts w:ascii="Times New Roman" w:hAnsi="Times New Roman"/>
          <w:sz w:val="24"/>
          <w:szCs w:val="24"/>
        </w:rPr>
        <w:t xml:space="preserve"> hours prior to naloxone administration, naloxone administration in </w:t>
      </w:r>
      <w:r w:rsidR="00A829F5" w:rsidRPr="00A975EF">
        <w:rPr>
          <w:rFonts w:ascii="Times New Roman" w:hAnsi="Times New Roman"/>
          <w:sz w:val="24"/>
          <w:szCs w:val="24"/>
        </w:rPr>
        <w:t>e</w:t>
      </w:r>
      <w:r w:rsidRPr="00A975EF">
        <w:rPr>
          <w:rFonts w:ascii="Times New Roman" w:hAnsi="Times New Roman"/>
          <w:sz w:val="24"/>
          <w:szCs w:val="24"/>
        </w:rPr>
        <w:t xml:space="preserve">mergency </w:t>
      </w:r>
      <w:r w:rsidR="00A829F5" w:rsidRPr="00A975EF">
        <w:rPr>
          <w:rFonts w:ascii="Times New Roman" w:hAnsi="Times New Roman"/>
          <w:sz w:val="24"/>
          <w:szCs w:val="24"/>
        </w:rPr>
        <w:t>d</w:t>
      </w:r>
      <w:r w:rsidRPr="00A975EF">
        <w:rPr>
          <w:rFonts w:ascii="Times New Roman" w:hAnsi="Times New Roman"/>
          <w:sz w:val="24"/>
          <w:szCs w:val="24"/>
        </w:rPr>
        <w:t>epartment</w:t>
      </w:r>
      <w:r w:rsidR="003723F1" w:rsidRPr="00A975EF">
        <w:rPr>
          <w:rFonts w:ascii="Times New Roman" w:hAnsi="Times New Roman"/>
          <w:sz w:val="24"/>
          <w:szCs w:val="24"/>
        </w:rPr>
        <w:t xml:space="preserve"> (ED)</w:t>
      </w:r>
      <w:r w:rsidRPr="00A975EF">
        <w:rPr>
          <w:rFonts w:ascii="Times New Roman" w:hAnsi="Times New Roman"/>
          <w:sz w:val="24"/>
          <w:szCs w:val="24"/>
        </w:rPr>
        <w:t xml:space="preserve">, surgical, or </w:t>
      </w:r>
      <w:r w:rsidR="00A829F5" w:rsidRPr="00A975EF">
        <w:rPr>
          <w:rFonts w:ascii="Times New Roman" w:hAnsi="Times New Roman"/>
          <w:sz w:val="24"/>
          <w:szCs w:val="24"/>
        </w:rPr>
        <w:t>l</w:t>
      </w:r>
      <w:r w:rsidRPr="00A975EF">
        <w:rPr>
          <w:rFonts w:ascii="Times New Roman" w:hAnsi="Times New Roman"/>
          <w:sz w:val="24"/>
          <w:szCs w:val="24"/>
        </w:rPr>
        <w:t xml:space="preserve">abor and </w:t>
      </w:r>
      <w:r w:rsidR="00A829F5" w:rsidRPr="00A975EF">
        <w:rPr>
          <w:rFonts w:ascii="Times New Roman" w:hAnsi="Times New Roman"/>
          <w:sz w:val="24"/>
          <w:szCs w:val="24"/>
        </w:rPr>
        <w:t>d</w:t>
      </w:r>
      <w:r w:rsidRPr="00A975EF">
        <w:rPr>
          <w:rFonts w:ascii="Times New Roman" w:hAnsi="Times New Roman"/>
          <w:sz w:val="24"/>
          <w:szCs w:val="24"/>
        </w:rPr>
        <w:t>elivery</w:t>
      </w:r>
      <w:r w:rsidR="001B0173" w:rsidRPr="00A975EF">
        <w:rPr>
          <w:rFonts w:ascii="Times New Roman" w:hAnsi="Times New Roman"/>
          <w:sz w:val="24"/>
          <w:szCs w:val="24"/>
        </w:rPr>
        <w:t xml:space="preserve"> (L&amp;D)</w:t>
      </w:r>
      <w:r w:rsidRPr="00A975EF">
        <w:rPr>
          <w:rFonts w:ascii="Times New Roman" w:hAnsi="Times New Roman"/>
          <w:sz w:val="24"/>
          <w:szCs w:val="24"/>
        </w:rPr>
        <w:t xml:space="preserve"> units, administration of a continuous infusion of naloxone and administration of naloxone within 24 hours of admission.  T</w:t>
      </w:r>
      <w:r w:rsidR="00BA1428" w:rsidRPr="00A975EF">
        <w:rPr>
          <w:rFonts w:ascii="Times New Roman" w:hAnsi="Times New Roman"/>
          <w:sz w:val="24"/>
          <w:szCs w:val="24"/>
        </w:rPr>
        <w:t>he time frame of twelve hours between an opioid and naloxone was</w:t>
      </w:r>
      <w:r w:rsidRPr="00A975EF">
        <w:rPr>
          <w:rFonts w:ascii="Times New Roman" w:hAnsi="Times New Roman"/>
          <w:sz w:val="24"/>
          <w:szCs w:val="24"/>
        </w:rPr>
        <w:t xml:space="preserve"> chosen due to</w:t>
      </w:r>
      <w:r w:rsidR="00BA1428" w:rsidRPr="00A975EF">
        <w:rPr>
          <w:rFonts w:ascii="Times New Roman" w:hAnsi="Times New Roman"/>
          <w:sz w:val="24"/>
          <w:szCs w:val="24"/>
        </w:rPr>
        <w:t xml:space="preserve"> </w:t>
      </w:r>
      <w:r w:rsidR="00570281" w:rsidRPr="00A975EF">
        <w:rPr>
          <w:rFonts w:ascii="Times New Roman" w:hAnsi="Times New Roman"/>
          <w:sz w:val="24"/>
          <w:szCs w:val="24"/>
        </w:rPr>
        <w:t xml:space="preserve">the </w:t>
      </w:r>
      <w:r w:rsidR="00BA1428" w:rsidRPr="00A975EF">
        <w:rPr>
          <w:rFonts w:ascii="Times New Roman" w:hAnsi="Times New Roman"/>
          <w:sz w:val="24"/>
          <w:szCs w:val="24"/>
        </w:rPr>
        <w:t>peak effect of</w:t>
      </w:r>
      <w:r w:rsidR="00570281" w:rsidRPr="00A975EF">
        <w:rPr>
          <w:rFonts w:ascii="Times New Roman" w:hAnsi="Times New Roman"/>
          <w:sz w:val="24"/>
          <w:szCs w:val="24"/>
        </w:rPr>
        <w:t xml:space="preserve"> most</w:t>
      </w:r>
      <w:r w:rsidR="00BA1428" w:rsidRPr="00A975EF">
        <w:rPr>
          <w:rFonts w:ascii="Times New Roman" w:hAnsi="Times New Roman"/>
          <w:sz w:val="24"/>
          <w:szCs w:val="24"/>
        </w:rPr>
        <w:t xml:space="preserve"> opioids occurring prior to twelve hours (to avoid confounding </w:t>
      </w:r>
      <w:r w:rsidR="007C26D0" w:rsidRPr="00A975EF">
        <w:rPr>
          <w:rFonts w:ascii="Times New Roman" w:hAnsi="Times New Roman"/>
          <w:sz w:val="24"/>
          <w:szCs w:val="24"/>
        </w:rPr>
        <w:t>variables)</w:t>
      </w:r>
      <w:r w:rsidR="00D833AB" w:rsidRPr="00A975EF">
        <w:rPr>
          <w:rFonts w:ascii="Times New Roman" w:hAnsi="Times New Roman"/>
          <w:sz w:val="24"/>
          <w:szCs w:val="24"/>
        </w:rPr>
        <w:t xml:space="preserve"> and</w:t>
      </w:r>
      <w:r w:rsidRPr="00A975EF">
        <w:rPr>
          <w:rFonts w:ascii="Times New Roman" w:hAnsi="Times New Roman"/>
          <w:sz w:val="24"/>
          <w:szCs w:val="24"/>
        </w:rPr>
        <w:t xml:space="preserve"> minimal use of extended release opioid products and methadone</w:t>
      </w:r>
      <w:r w:rsidR="00CB2639" w:rsidRPr="00A975EF">
        <w:rPr>
          <w:rFonts w:ascii="Times New Roman" w:hAnsi="Times New Roman"/>
          <w:sz w:val="24"/>
          <w:szCs w:val="24"/>
        </w:rPr>
        <w:t>,</w:t>
      </w:r>
      <w:r w:rsidRPr="00A975EF">
        <w:rPr>
          <w:rFonts w:ascii="Times New Roman" w:hAnsi="Times New Roman"/>
          <w:sz w:val="24"/>
          <w:szCs w:val="24"/>
        </w:rPr>
        <w:t xml:space="preserve"> which can have variable pharmacokinetics</w:t>
      </w:r>
      <w:r w:rsidR="00D833AB" w:rsidRPr="00A975EF">
        <w:rPr>
          <w:rFonts w:ascii="Times New Roman" w:hAnsi="Times New Roman"/>
          <w:sz w:val="24"/>
          <w:szCs w:val="24"/>
        </w:rPr>
        <w:t xml:space="preserve">. Exclusion of </w:t>
      </w:r>
      <w:r w:rsidR="00E00C1F" w:rsidRPr="00A975EF">
        <w:rPr>
          <w:rFonts w:ascii="Times New Roman" w:hAnsi="Times New Roman"/>
          <w:sz w:val="24"/>
          <w:szCs w:val="24"/>
        </w:rPr>
        <w:t>patients receiving an opioid and naloxone in the</w:t>
      </w:r>
      <w:r w:rsidR="00F65EB8" w:rsidRPr="00A975EF">
        <w:rPr>
          <w:rFonts w:ascii="Times New Roman" w:hAnsi="Times New Roman"/>
          <w:sz w:val="24"/>
          <w:szCs w:val="24"/>
        </w:rPr>
        <w:t xml:space="preserve"> </w:t>
      </w:r>
      <w:r w:rsidR="006C4BB5" w:rsidRPr="00A975EF">
        <w:rPr>
          <w:rFonts w:ascii="Times New Roman" w:hAnsi="Times New Roman"/>
          <w:sz w:val="24"/>
          <w:szCs w:val="24"/>
        </w:rPr>
        <w:t>ED</w:t>
      </w:r>
      <w:r w:rsidR="00F65EB8" w:rsidRPr="00A975EF">
        <w:rPr>
          <w:rFonts w:ascii="Times New Roman" w:hAnsi="Times New Roman"/>
          <w:sz w:val="24"/>
          <w:szCs w:val="24"/>
        </w:rPr>
        <w:t xml:space="preserve"> and within 24 hours</w:t>
      </w:r>
      <w:r w:rsidR="00570281" w:rsidRPr="00A975EF">
        <w:rPr>
          <w:rFonts w:ascii="Times New Roman" w:hAnsi="Times New Roman"/>
          <w:sz w:val="24"/>
          <w:szCs w:val="24"/>
        </w:rPr>
        <w:t xml:space="preserve"> </w:t>
      </w:r>
      <w:r w:rsidR="00E00C1F" w:rsidRPr="00A975EF">
        <w:rPr>
          <w:rFonts w:ascii="Times New Roman" w:hAnsi="Times New Roman"/>
          <w:sz w:val="24"/>
          <w:szCs w:val="24"/>
        </w:rPr>
        <w:t xml:space="preserve">was due to </w:t>
      </w:r>
      <w:r w:rsidR="0044346F" w:rsidRPr="00A975EF">
        <w:rPr>
          <w:rFonts w:ascii="Times New Roman" w:hAnsi="Times New Roman"/>
          <w:sz w:val="24"/>
          <w:szCs w:val="24"/>
        </w:rPr>
        <w:t>the variable of patients potentially ingesting an unknown substance prior to his or her visit</w:t>
      </w:r>
      <w:r w:rsidR="005F1A3D" w:rsidRPr="00A975EF">
        <w:rPr>
          <w:rFonts w:ascii="Times New Roman" w:hAnsi="Times New Roman"/>
          <w:sz w:val="24"/>
          <w:szCs w:val="24"/>
        </w:rPr>
        <w:t xml:space="preserve"> that could require naloxone. Exclusion of the </w:t>
      </w:r>
      <w:r w:rsidR="00636BC0" w:rsidRPr="00A975EF">
        <w:rPr>
          <w:rFonts w:ascii="Times New Roman" w:hAnsi="Times New Roman"/>
          <w:sz w:val="24"/>
          <w:szCs w:val="24"/>
        </w:rPr>
        <w:t xml:space="preserve">surgical and </w:t>
      </w:r>
      <w:r w:rsidR="003723F1" w:rsidRPr="00A975EF">
        <w:rPr>
          <w:rFonts w:ascii="Times New Roman" w:hAnsi="Times New Roman"/>
          <w:sz w:val="24"/>
          <w:szCs w:val="24"/>
        </w:rPr>
        <w:t>L&amp;D</w:t>
      </w:r>
      <w:r w:rsidR="00636BC0" w:rsidRPr="00A975EF">
        <w:rPr>
          <w:rFonts w:ascii="Times New Roman" w:hAnsi="Times New Roman"/>
          <w:sz w:val="24"/>
          <w:szCs w:val="24"/>
        </w:rPr>
        <w:t xml:space="preserve"> units was due to unreliable documentation </w:t>
      </w:r>
      <w:r w:rsidR="00FC00C5" w:rsidRPr="00A975EF">
        <w:rPr>
          <w:rFonts w:ascii="Times New Roman" w:hAnsi="Times New Roman"/>
          <w:sz w:val="24"/>
          <w:szCs w:val="24"/>
        </w:rPr>
        <w:t xml:space="preserve">and receiving naloxone </w:t>
      </w:r>
      <w:r w:rsidR="00697503" w:rsidRPr="00A975EF">
        <w:rPr>
          <w:rFonts w:ascii="Times New Roman" w:hAnsi="Times New Roman"/>
          <w:sz w:val="24"/>
          <w:szCs w:val="24"/>
        </w:rPr>
        <w:t>to reverse</w:t>
      </w:r>
      <w:r w:rsidR="002534A8" w:rsidRPr="00A975EF">
        <w:rPr>
          <w:rFonts w:ascii="Times New Roman" w:hAnsi="Times New Roman"/>
          <w:sz w:val="24"/>
          <w:szCs w:val="24"/>
        </w:rPr>
        <w:t xml:space="preserve"> analgesia after a procedure was </w:t>
      </w:r>
      <w:r w:rsidR="00903A7E" w:rsidRPr="00A975EF">
        <w:rPr>
          <w:rFonts w:ascii="Times New Roman" w:hAnsi="Times New Roman"/>
          <w:sz w:val="24"/>
          <w:szCs w:val="24"/>
        </w:rPr>
        <w:t xml:space="preserve">completed. </w:t>
      </w:r>
    </w:p>
    <w:p w14:paraId="488C8576" w14:textId="5D9283C0" w:rsidR="00CB71A1" w:rsidRPr="00A975EF" w:rsidRDefault="00CB71A1" w:rsidP="00CB71A1">
      <w:pPr>
        <w:spacing w:before="200" w:after="120"/>
        <w:rPr>
          <w:rFonts w:ascii="Times New Roman" w:hAnsi="Times New Roman"/>
          <w:b/>
          <w:i/>
          <w:iCs/>
          <w:sz w:val="24"/>
          <w:szCs w:val="20"/>
        </w:rPr>
      </w:pPr>
      <w:r w:rsidRPr="00A975EF">
        <w:rPr>
          <w:rFonts w:ascii="Times New Roman" w:hAnsi="Times New Roman"/>
          <w:b/>
          <w:i/>
          <w:iCs/>
          <w:sz w:val="24"/>
          <w:szCs w:val="20"/>
        </w:rPr>
        <w:t>2.1 Data Collection</w:t>
      </w:r>
    </w:p>
    <w:p w14:paraId="697F4DB2" w14:textId="4FC0AE1F" w:rsidR="00BB70C8" w:rsidRPr="00A975EF" w:rsidRDefault="009A6A7A" w:rsidP="0002244D">
      <w:pPr>
        <w:spacing w:after="0"/>
        <w:ind w:firstLine="230"/>
        <w:jc w:val="both"/>
        <w:rPr>
          <w:rFonts w:ascii="Times New Roman" w:hAnsi="Times New Roman"/>
          <w:sz w:val="24"/>
          <w:szCs w:val="24"/>
        </w:rPr>
      </w:pPr>
      <w:r w:rsidRPr="00A975EF">
        <w:rPr>
          <w:rFonts w:ascii="Times New Roman" w:hAnsi="Times New Roman"/>
          <w:sz w:val="24"/>
          <w:szCs w:val="24"/>
        </w:rPr>
        <w:t>Patients were identified for inclusion</w:t>
      </w:r>
      <w:r w:rsidR="00082E12" w:rsidRPr="00A975EF">
        <w:rPr>
          <w:rFonts w:ascii="Times New Roman" w:hAnsi="Times New Roman"/>
          <w:sz w:val="24"/>
          <w:szCs w:val="24"/>
        </w:rPr>
        <w:t xml:space="preserve"> using</w:t>
      </w:r>
      <w:r w:rsidR="0073435F" w:rsidRPr="00A975EF">
        <w:rPr>
          <w:rFonts w:ascii="Times New Roman" w:hAnsi="Times New Roman"/>
          <w:sz w:val="24"/>
          <w:szCs w:val="24"/>
        </w:rPr>
        <w:t xml:space="preserve"> a</w:t>
      </w:r>
      <w:r w:rsidR="00082E12" w:rsidRPr="00A975EF">
        <w:rPr>
          <w:rFonts w:ascii="Times New Roman" w:hAnsi="Times New Roman"/>
          <w:sz w:val="24"/>
          <w:szCs w:val="24"/>
        </w:rPr>
        <w:t xml:space="preserve"> clinical surveillance software. </w:t>
      </w:r>
      <w:r w:rsidR="00CB71A1" w:rsidRPr="00A975EF">
        <w:rPr>
          <w:rFonts w:ascii="Times New Roman" w:hAnsi="Times New Roman"/>
          <w:sz w:val="24"/>
          <w:szCs w:val="24"/>
        </w:rPr>
        <w:t>All data was extracted from the patient’s electronic medical record</w:t>
      </w:r>
      <w:r w:rsidR="00144F5B" w:rsidRPr="00A975EF">
        <w:rPr>
          <w:rFonts w:ascii="Times New Roman" w:hAnsi="Times New Roman"/>
          <w:sz w:val="24"/>
          <w:szCs w:val="24"/>
        </w:rPr>
        <w:t xml:space="preserve"> (EMR)</w:t>
      </w:r>
      <w:r w:rsidR="00CB71A1" w:rsidRPr="00A975EF">
        <w:rPr>
          <w:rFonts w:ascii="Times New Roman" w:hAnsi="Times New Roman"/>
          <w:sz w:val="24"/>
          <w:szCs w:val="24"/>
        </w:rPr>
        <w:t xml:space="preserve">. </w:t>
      </w:r>
      <w:r w:rsidR="002643A3" w:rsidRPr="00A975EF">
        <w:rPr>
          <w:rFonts w:ascii="Times New Roman" w:hAnsi="Times New Roman"/>
          <w:sz w:val="24"/>
          <w:szCs w:val="24"/>
        </w:rPr>
        <w:t>The following are the data points collected:</w:t>
      </w:r>
      <w:r w:rsidR="00F714B6" w:rsidRPr="00A975EF">
        <w:rPr>
          <w:rFonts w:ascii="Times New Roman" w:hAnsi="Times New Roman"/>
          <w:sz w:val="24"/>
          <w:szCs w:val="24"/>
        </w:rPr>
        <w:t xml:space="preserve"> demographic information,</w:t>
      </w:r>
      <w:r w:rsidR="00CB3FB7" w:rsidRPr="00A975EF">
        <w:rPr>
          <w:rFonts w:ascii="Times New Roman" w:hAnsi="Times New Roman"/>
          <w:sz w:val="24"/>
          <w:szCs w:val="24"/>
        </w:rPr>
        <w:t xml:space="preserve"> an</w:t>
      </w:r>
      <w:r w:rsidR="00F714B6" w:rsidRPr="00A975EF">
        <w:rPr>
          <w:rFonts w:ascii="Times New Roman" w:hAnsi="Times New Roman"/>
          <w:sz w:val="24"/>
          <w:szCs w:val="24"/>
        </w:rPr>
        <w:t xml:space="preserve"> ICD-10 coded diagnosis of heart failure,</w:t>
      </w:r>
      <w:r w:rsidR="00CB3FB7" w:rsidRPr="00A975EF">
        <w:rPr>
          <w:rFonts w:ascii="Times New Roman" w:hAnsi="Times New Roman"/>
          <w:sz w:val="24"/>
          <w:szCs w:val="24"/>
        </w:rPr>
        <w:t xml:space="preserve"> an</w:t>
      </w:r>
      <w:r w:rsidR="00F714B6" w:rsidRPr="00A975EF">
        <w:rPr>
          <w:rFonts w:ascii="Times New Roman" w:hAnsi="Times New Roman"/>
          <w:sz w:val="24"/>
          <w:szCs w:val="24"/>
        </w:rPr>
        <w:t xml:space="preserve"> ICD-10 coded diagnosis </w:t>
      </w:r>
      <w:r w:rsidR="00807EC3" w:rsidRPr="00A975EF">
        <w:rPr>
          <w:rFonts w:ascii="Times New Roman" w:hAnsi="Times New Roman"/>
          <w:sz w:val="24"/>
          <w:szCs w:val="24"/>
        </w:rPr>
        <w:t xml:space="preserve">of renal impairment (using chronic kidney </w:t>
      </w:r>
      <w:r w:rsidR="001166C4" w:rsidRPr="00A975EF">
        <w:rPr>
          <w:rFonts w:ascii="Times New Roman" w:hAnsi="Times New Roman"/>
          <w:sz w:val="24"/>
          <w:szCs w:val="24"/>
        </w:rPr>
        <w:t>disease stage III and lower and/or presence of acute kidney injury)</w:t>
      </w:r>
      <w:r w:rsidR="002643A3" w:rsidRPr="00A975EF">
        <w:rPr>
          <w:rFonts w:ascii="Times New Roman" w:hAnsi="Times New Roman"/>
          <w:sz w:val="24"/>
          <w:szCs w:val="24"/>
        </w:rPr>
        <w:t xml:space="preserve">, unit in the hospital, </w:t>
      </w:r>
      <w:r w:rsidR="00225F31" w:rsidRPr="00A975EF">
        <w:rPr>
          <w:rFonts w:ascii="Times New Roman" w:hAnsi="Times New Roman"/>
          <w:sz w:val="24"/>
          <w:szCs w:val="24"/>
        </w:rPr>
        <w:t>time of naloxone administration(s),</w:t>
      </w:r>
      <w:r w:rsidR="00590F56" w:rsidRPr="00A975EF">
        <w:rPr>
          <w:rFonts w:ascii="Times New Roman" w:hAnsi="Times New Roman"/>
          <w:sz w:val="24"/>
          <w:szCs w:val="24"/>
        </w:rPr>
        <w:t xml:space="preserve"> a list of opioids and other</w:t>
      </w:r>
      <w:r w:rsidR="006A121C" w:rsidRPr="00A975EF">
        <w:rPr>
          <w:rFonts w:ascii="Times New Roman" w:hAnsi="Times New Roman"/>
          <w:sz w:val="24"/>
          <w:szCs w:val="24"/>
        </w:rPr>
        <w:t xml:space="preserve"> </w:t>
      </w:r>
      <w:r w:rsidR="005764A0" w:rsidRPr="00A975EF">
        <w:rPr>
          <w:rFonts w:ascii="Times New Roman" w:hAnsi="Times New Roman"/>
          <w:sz w:val="24"/>
          <w:szCs w:val="24"/>
        </w:rPr>
        <w:t>CNS</w:t>
      </w:r>
      <w:r w:rsidR="00370371" w:rsidRPr="00A975EF">
        <w:rPr>
          <w:rFonts w:ascii="Times New Roman" w:hAnsi="Times New Roman"/>
          <w:sz w:val="24"/>
          <w:szCs w:val="24"/>
        </w:rPr>
        <w:t xml:space="preserve"> depressants</w:t>
      </w:r>
      <w:r w:rsidR="007B7182" w:rsidRPr="00A975EF">
        <w:rPr>
          <w:rFonts w:ascii="Times New Roman" w:hAnsi="Times New Roman"/>
          <w:sz w:val="24"/>
          <w:szCs w:val="24"/>
        </w:rPr>
        <w:t xml:space="preserve"> (including time, dose, and route)</w:t>
      </w:r>
      <w:r w:rsidR="00370371" w:rsidRPr="00A975EF">
        <w:rPr>
          <w:rFonts w:ascii="Times New Roman" w:hAnsi="Times New Roman"/>
          <w:sz w:val="24"/>
          <w:szCs w:val="24"/>
        </w:rPr>
        <w:t xml:space="preserve"> administered within the twelve hours leading up to naloxone</w:t>
      </w:r>
      <w:r w:rsidR="007B7182" w:rsidRPr="00A975EF">
        <w:rPr>
          <w:rFonts w:ascii="Times New Roman" w:hAnsi="Times New Roman"/>
          <w:sz w:val="24"/>
          <w:szCs w:val="24"/>
        </w:rPr>
        <w:t xml:space="preserve"> administration</w:t>
      </w:r>
      <w:r w:rsidR="00007341" w:rsidRPr="00A975EF">
        <w:rPr>
          <w:rFonts w:ascii="Times New Roman" w:hAnsi="Times New Roman"/>
          <w:sz w:val="24"/>
          <w:szCs w:val="24"/>
        </w:rPr>
        <w:t xml:space="preserve">. </w:t>
      </w:r>
    </w:p>
    <w:p w14:paraId="66FC5053" w14:textId="6286357C" w:rsidR="00B15CD1" w:rsidRPr="00A975EF" w:rsidRDefault="00B9566D" w:rsidP="00B9566D">
      <w:pPr>
        <w:spacing w:before="200" w:after="120"/>
        <w:rPr>
          <w:rFonts w:ascii="Times New Roman" w:hAnsi="Times New Roman"/>
          <w:b/>
          <w:i/>
          <w:iCs/>
          <w:sz w:val="24"/>
          <w:szCs w:val="20"/>
        </w:rPr>
      </w:pPr>
      <w:r w:rsidRPr="00A975EF">
        <w:rPr>
          <w:rFonts w:ascii="Times New Roman" w:hAnsi="Times New Roman"/>
          <w:b/>
          <w:i/>
          <w:iCs/>
          <w:sz w:val="24"/>
          <w:szCs w:val="20"/>
        </w:rPr>
        <w:t>2.</w:t>
      </w:r>
      <w:r w:rsidR="00A65F30" w:rsidRPr="00A975EF">
        <w:rPr>
          <w:rFonts w:ascii="Times New Roman" w:hAnsi="Times New Roman"/>
          <w:b/>
          <w:i/>
          <w:iCs/>
          <w:sz w:val="24"/>
          <w:szCs w:val="20"/>
        </w:rPr>
        <w:t>2</w:t>
      </w:r>
      <w:r w:rsidRPr="00A975EF">
        <w:rPr>
          <w:rFonts w:ascii="Times New Roman" w:hAnsi="Times New Roman"/>
          <w:b/>
          <w:i/>
          <w:iCs/>
          <w:sz w:val="24"/>
          <w:szCs w:val="20"/>
        </w:rPr>
        <w:t xml:space="preserve"> Data Analysis</w:t>
      </w:r>
    </w:p>
    <w:p w14:paraId="5F494096" w14:textId="50B420A1" w:rsidR="0041330F" w:rsidRPr="00A975EF" w:rsidRDefault="00AF6938" w:rsidP="004C2512">
      <w:pPr>
        <w:ind w:firstLine="230"/>
        <w:jc w:val="both"/>
        <w:rPr>
          <w:rFonts w:ascii="Times New Roman" w:hAnsi="Times New Roman"/>
          <w:sz w:val="24"/>
          <w:szCs w:val="24"/>
        </w:rPr>
      </w:pPr>
      <w:r w:rsidRPr="00A975EF">
        <w:rPr>
          <w:rFonts w:ascii="Times New Roman" w:hAnsi="Times New Roman"/>
          <w:sz w:val="24"/>
          <w:szCs w:val="24"/>
        </w:rPr>
        <w:t>T</w:t>
      </w:r>
      <w:r w:rsidR="00FB2367" w:rsidRPr="00A975EF">
        <w:rPr>
          <w:rFonts w:ascii="Times New Roman" w:hAnsi="Times New Roman"/>
          <w:sz w:val="24"/>
          <w:szCs w:val="24"/>
        </w:rPr>
        <w:t xml:space="preserve">he Fisher’s Exact Test was selected </w:t>
      </w:r>
      <w:r w:rsidRPr="00A975EF">
        <w:rPr>
          <w:rFonts w:ascii="Times New Roman" w:hAnsi="Times New Roman"/>
          <w:sz w:val="24"/>
          <w:szCs w:val="24"/>
        </w:rPr>
        <w:t>as all data is categorical</w:t>
      </w:r>
      <w:r w:rsidR="00145CE7" w:rsidRPr="00A975EF">
        <w:rPr>
          <w:rFonts w:ascii="Times New Roman" w:hAnsi="Times New Roman"/>
          <w:sz w:val="24"/>
          <w:szCs w:val="24"/>
        </w:rPr>
        <w:t xml:space="preserve"> with a small sample size. </w:t>
      </w:r>
      <w:r w:rsidR="008C7E57" w:rsidRPr="00A975EF">
        <w:rPr>
          <w:rFonts w:ascii="Times New Roman" w:hAnsi="Times New Roman"/>
          <w:sz w:val="24"/>
          <w:szCs w:val="24"/>
        </w:rPr>
        <w:t>The pre-determined alpha was set at 0.05.</w:t>
      </w:r>
      <w:r w:rsidR="00646B07" w:rsidRPr="00A975EF">
        <w:rPr>
          <w:rFonts w:ascii="Times New Roman" w:hAnsi="Times New Roman"/>
          <w:sz w:val="24"/>
          <w:szCs w:val="24"/>
        </w:rPr>
        <w:t xml:space="preserve"> Patients who received naloxone </w:t>
      </w:r>
      <w:r w:rsidR="00873D13" w:rsidRPr="00A975EF">
        <w:rPr>
          <w:rFonts w:ascii="Times New Roman" w:hAnsi="Times New Roman"/>
          <w:sz w:val="24"/>
          <w:szCs w:val="24"/>
        </w:rPr>
        <w:t xml:space="preserve">were compared to those who did not. </w:t>
      </w:r>
      <w:r w:rsidR="008C7E57" w:rsidRPr="00A975EF">
        <w:rPr>
          <w:rFonts w:ascii="Times New Roman" w:hAnsi="Times New Roman"/>
          <w:sz w:val="24"/>
          <w:szCs w:val="24"/>
        </w:rPr>
        <w:t xml:space="preserve"> </w:t>
      </w:r>
    </w:p>
    <w:p w14:paraId="54BE46CD" w14:textId="14A67824" w:rsidR="000422B3" w:rsidRPr="00A975EF" w:rsidRDefault="004E3CB6" w:rsidP="00BB70C8">
      <w:pPr>
        <w:spacing w:before="200" w:after="120"/>
        <w:rPr>
          <w:rFonts w:ascii="Times New Roman" w:hAnsi="Times New Roman"/>
          <w:b/>
          <w:sz w:val="28"/>
        </w:rPr>
      </w:pPr>
      <w:r w:rsidRPr="00A975EF">
        <w:rPr>
          <w:rFonts w:ascii="Times New Roman" w:hAnsi="Times New Roman"/>
          <w:b/>
          <w:sz w:val="28"/>
        </w:rPr>
        <w:t>3</w:t>
      </w:r>
      <w:r w:rsidR="00BB70C8" w:rsidRPr="00A975EF">
        <w:rPr>
          <w:rFonts w:ascii="Times New Roman" w:hAnsi="Times New Roman"/>
          <w:b/>
          <w:sz w:val="28"/>
        </w:rPr>
        <w:t xml:space="preserve">. </w:t>
      </w:r>
      <w:r w:rsidRPr="00A975EF">
        <w:rPr>
          <w:rFonts w:ascii="Times New Roman" w:hAnsi="Times New Roman"/>
          <w:b/>
          <w:sz w:val="28"/>
        </w:rPr>
        <w:t>Results</w:t>
      </w:r>
    </w:p>
    <w:p w14:paraId="1F1C0F60" w14:textId="19654901" w:rsidR="00BB70C8" w:rsidRPr="00A975EF" w:rsidRDefault="002301B3" w:rsidP="00646B07">
      <w:pPr>
        <w:spacing w:after="0"/>
        <w:ind w:firstLine="230"/>
        <w:jc w:val="both"/>
        <w:rPr>
          <w:rFonts w:ascii="Times New Roman" w:hAnsi="Times New Roman"/>
          <w:sz w:val="24"/>
          <w:szCs w:val="24"/>
        </w:rPr>
      </w:pPr>
      <w:r w:rsidRPr="00A975EF">
        <w:rPr>
          <w:rFonts w:ascii="Times New Roman" w:hAnsi="Times New Roman"/>
          <w:sz w:val="24"/>
          <w:szCs w:val="24"/>
        </w:rPr>
        <w:t xml:space="preserve">Figure </w:t>
      </w:r>
      <w:r w:rsidR="00FD75CE" w:rsidRPr="00A975EF">
        <w:rPr>
          <w:rFonts w:ascii="Times New Roman" w:hAnsi="Times New Roman"/>
          <w:sz w:val="24"/>
          <w:szCs w:val="24"/>
        </w:rPr>
        <w:t>1</w:t>
      </w:r>
      <w:r w:rsidRPr="00A975EF">
        <w:rPr>
          <w:rFonts w:ascii="Times New Roman" w:hAnsi="Times New Roman"/>
          <w:sz w:val="24"/>
          <w:szCs w:val="24"/>
        </w:rPr>
        <w:t xml:space="preserve"> shows the</w:t>
      </w:r>
      <w:r w:rsidR="00FD75CE" w:rsidRPr="00A975EF">
        <w:rPr>
          <w:rFonts w:ascii="Times New Roman" w:hAnsi="Times New Roman"/>
          <w:sz w:val="24"/>
          <w:szCs w:val="24"/>
        </w:rPr>
        <w:t xml:space="preserve"> breakdown of the patients who were excluded and the remaining included.</w:t>
      </w:r>
      <w:r w:rsidR="00B92EC3" w:rsidRPr="00A975EF">
        <w:rPr>
          <w:rFonts w:ascii="Times New Roman" w:hAnsi="Times New Roman"/>
          <w:sz w:val="24"/>
          <w:szCs w:val="24"/>
        </w:rPr>
        <w:t xml:space="preserve"> </w:t>
      </w:r>
      <w:r w:rsidR="002662EB" w:rsidRPr="00A975EF">
        <w:rPr>
          <w:rFonts w:ascii="Times New Roman" w:hAnsi="Times New Roman"/>
          <w:sz w:val="24"/>
          <w:szCs w:val="24"/>
        </w:rPr>
        <w:t>In the six</w:t>
      </w:r>
      <w:r w:rsidR="001B0173" w:rsidRPr="00A975EF">
        <w:rPr>
          <w:rFonts w:ascii="Times New Roman" w:hAnsi="Times New Roman"/>
          <w:sz w:val="24"/>
          <w:szCs w:val="24"/>
        </w:rPr>
        <w:t>-</w:t>
      </w:r>
      <w:r w:rsidR="002662EB" w:rsidRPr="00A975EF">
        <w:rPr>
          <w:rFonts w:ascii="Times New Roman" w:hAnsi="Times New Roman"/>
          <w:sz w:val="24"/>
          <w:szCs w:val="24"/>
        </w:rPr>
        <w:t>month period of data collection</w:t>
      </w:r>
      <w:r w:rsidR="008B6172" w:rsidRPr="00A975EF">
        <w:rPr>
          <w:rFonts w:ascii="Times New Roman" w:hAnsi="Times New Roman"/>
          <w:sz w:val="24"/>
          <w:szCs w:val="24"/>
        </w:rPr>
        <w:t xml:space="preserve">, there were 11,491 patients who received at least one documented administration of an opioid at this institution. </w:t>
      </w:r>
      <w:r w:rsidR="00970DC9" w:rsidRPr="00A975EF">
        <w:rPr>
          <w:rFonts w:ascii="Times New Roman" w:hAnsi="Times New Roman"/>
          <w:sz w:val="24"/>
          <w:szCs w:val="24"/>
        </w:rPr>
        <w:t xml:space="preserve">168 of those patients received a documented administration of naloxone. </w:t>
      </w:r>
      <w:r w:rsidR="00EC2796" w:rsidRPr="00A975EF">
        <w:rPr>
          <w:rFonts w:ascii="Times New Roman" w:hAnsi="Times New Roman"/>
          <w:sz w:val="24"/>
          <w:szCs w:val="24"/>
        </w:rPr>
        <w:t xml:space="preserve">After </w:t>
      </w:r>
      <w:r w:rsidR="00EC2796" w:rsidRPr="00A975EF">
        <w:rPr>
          <w:rFonts w:ascii="Times New Roman" w:hAnsi="Times New Roman"/>
          <w:sz w:val="24"/>
          <w:szCs w:val="24"/>
        </w:rPr>
        <w:lastRenderedPageBreak/>
        <w:t>excluding</w:t>
      </w:r>
      <w:r w:rsidR="001B0173" w:rsidRPr="00A975EF">
        <w:rPr>
          <w:rFonts w:ascii="Times New Roman" w:hAnsi="Times New Roman"/>
          <w:sz w:val="24"/>
          <w:szCs w:val="24"/>
        </w:rPr>
        <w:t xml:space="preserve"> the </w:t>
      </w:r>
      <w:r w:rsidR="006C4BB5" w:rsidRPr="00A975EF">
        <w:rPr>
          <w:rFonts w:ascii="Times New Roman" w:hAnsi="Times New Roman"/>
          <w:sz w:val="24"/>
          <w:szCs w:val="24"/>
        </w:rPr>
        <w:t>ED</w:t>
      </w:r>
      <w:r w:rsidR="001B0173" w:rsidRPr="00A975EF">
        <w:rPr>
          <w:rFonts w:ascii="Times New Roman" w:hAnsi="Times New Roman"/>
          <w:sz w:val="24"/>
          <w:szCs w:val="24"/>
        </w:rPr>
        <w:t>, surgery</w:t>
      </w:r>
      <w:r w:rsidR="006C4BB5" w:rsidRPr="00A975EF">
        <w:rPr>
          <w:rFonts w:ascii="Times New Roman" w:hAnsi="Times New Roman"/>
          <w:sz w:val="24"/>
          <w:szCs w:val="24"/>
        </w:rPr>
        <w:t>, L&amp;D units, and opioids not administered within</w:t>
      </w:r>
      <w:r w:rsidR="00220466" w:rsidRPr="00A975EF">
        <w:rPr>
          <w:rFonts w:ascii="Times New Roman" w:hAnsi="Times New Roman"/>
          <w:sz w:val="24"/>
          <w:szCs w:val="24"/>
        </w:rPr>
        <w:t xml:space="preserve"> the</w:t>
      </w:r>
      <w:r w:rsidR="006C4BB5" w:rsidRPr="00A975EF">
        <w:rPr>
          <w:rFonts w:ascii="Times New Roman" w:hAnsi="Times New Roman"/>
          <w:sz w:val="24"/>
          <w:szCs w:val="24"/>
        </w:rPr>
        <w:t xml:space="preserve"> twelve hours</w:t>
      </w:r>
      <w:r w:rsidR="00220466" w:rsidRPr="00A975EF">
        <w:rPr>
          <w:rFonts w:ascii="Times New Roman" w:hAnsi="Times New Roman"/>
          <w:sz w:val="24"/>
          <w:szCs w:val="24"/>
        </w:rPr>
        <w:t xml:space="preserve"> leading up to the </w:t>
      </w:r>
      <w:r w:rsidR="006C4BB5" w:rsidRPr="00A975EF">
        <w:rPr>
          <w:rFonts w:ascii="Times New Roman" w:hAnsi="Times New Roman"/>
          <w:sz w:val="24"/>
          <w:szCs w:val="24"/>
        </w:rPr>
        <w:t>naloxone</w:t>
      </w:r>
      <w:r w:rsidR="00220466" w:rsidRPr="00A975EF">
        <w:rPr>
          <w:rFonts w:ascii="Times New Roman" w:hAnsi="Times New Roman"/>
          <w:sz w:val="24"/>
          <w:szCs w:val="24"/>
        </w:rPr>
        <w:t xml:space="preserve"> administration</w:t>
      </w:r>
      <w:r w:rsidR="00C31D2F" w:rsidRPr="00A975EF">
        <w:rPr>
          <w:rFonts w:ascii="Times New Roman" w:hAnsi="Times New Roman"/>
          <w:sz w:val="24"/>
          <w:szCs w:val="24"/>
        </w:rPr>
        <w:t>, 47 patients remained for analysis</w:t>
      </w:r>
      <w:r w:rsidR="00B22956" w:rsidRPr="00A975EF">
        <w:rPr>
          <w:rFonts w:ascii="Times New Roman" w:hAnsi="Times New Roman"/>
          <w:sz w:val="24"/>
          <w:szCs w:val="24"/>
        </w:rPr>
        <w:t>.</w:t>
      </w:r>
      <w:r w:rsidR="00E546E9" w:rsidRPr="00A975EF">
        <w:rPr>
          <w:rFonts w:ascii="Times New Roman" w:hAnsi="Times New Roman"/>
          <w:sz w:val="24"/>
          <w:szCs w:val="24"/>
        </w:rPr>
        <w:t xml:space="preserve"> The baseline characteristics are included </w:t>
      </w:r>
      <w:r w:rsidR="00FD75CE" w:rsidRPr="00A975EF">
        <w:rPr>
          <w:rFonts w:ascii="Times New Roman" w:hAnsi="Times New Roman"/>
          <w:sz w:val="24"/>
          <w:szCs w:val="24"/>
        </w:rPr>
        <w:t xml:space="preserve">in Table 1. </w:t>
      </w:r>
    </w:p>
    <w:p w14:paraId="5DAE5B64" w14:textId="7DFDE9CC" w:rsidR="0009383A" w:rsidRPr="00A975EF" w:rsidRDefault="0009383A" w:rsidP="00646B07">
      <w:pPr>
        <w:spacing w:after="0"/>
        <w:ind w:firstLine="230"/>
        <w:jc w:val="both"/>
        <w:rPr>
          <w:rFonts w:ascii="Times New Roman" w:hAnsi="Times New Roman"/>
          <w:sz w:val="24"/>
          <w:szCs w:val="24"/>
        </w:rPr>
      </w:pPr>
    </w:p>
    <w:p w14:paraId="70F56338" w14:textId="10DBE7E2" w:rsidR="004A47B2" w:rsidRPr="00A975EF" w:rsidRDefault="00244C14" w:rsidP="004A47B2">
      <w:pPr>
        <w:spacing w:after="0"/>
        <w:jc w:val="both"/>
        <w:rPr>
          <w:rFonts w:ascii="Times New Roman" w:hAnsi="Times New Roman"/>
          <w:noProof/>
          <w:sz w:val="24"/>
          <w:szCs w:val="24"/>
        </w:rPr>
      </w:pPr>
      <w:r w:rsidRPr="00A975EF">
        <w:rPr>
          <w:rFonts w:ascii="Times New Roman" w:hAnsi="Times New Roman"/>
          <w:noProof/>
          <w:sz w:val="24"/>
          <w:szCs w:val="24"/>
          <w:lang w:val="en-US"/>
        </w:rPr>
        <w:drawing>
          <wp:inline distT="0" distB="0" distL="0" distR="0" wp14:anchorId="53136366" wp14:editId="544E30DC">
            <wp:extent cx="3133725" cy="2276475"/>
            <wp:effectExtent l="0" t="0" r="0" b="0"/>
            <wp:docPr id="1"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3725" cy="2276475"/>
                    </a:xfrm>
                    <a:prstGeom prst="rect">
                      <a:avLst/>
                    </a:prstGeom>
                    <a:noFill/>
                    <a:ln>
                      <a:noFill/>
                    </a:ln>
                  </pic:spPr>
                </pic:pic>
              </a:graphicData>
            </a:graphic>
          </wp:inline>
        </w:drawing>
      </w:r>
    </w:p>
    <w:p w14:paraId="1A3EC64B" w14:textId="583273F8" w:rsidR="0009383A" w:rsidRPr="00A975EF" w:rsidRDefault="00462356" w:rsidP="004A47B2">
      <w:pPr>
        <w:spacing w:after="0"/>
        <w:jc w:val="both"/>
        <w:rPr>
          <w:rFonts w:ascii="Times New Roman" w:hAnsi="Times New Roman"/>
          <w:i/>
          <w:iCs/>
          <w:sz w:val="18"/>
          <w:szCs w:val="18"/>
        </w:rPr>
      </w:pPr>
      <w:r w:rsidRPr="00A975EF">
        <w:rPr>
          <w:rFonts w:ascii="Times New Roman" w:hAnsi="Times New Roman"/>
          <w:i/>
          <w:iCs/>
          <w:sz w:val="18"/>
          <w:szCs w:val="18"/>
        </w:rPr>
        <w:t>Figure 1</w:t>
      </w:r>
      <w:r w:rsidR="00A220AD" w:rsidRPr="00A975EF">
        <w:rPr>
          <w:rFonts w:ascii="Times New Roman" w:hAnsi="Times New Roman"/>
          <w:i/>
          <w:iCs/>
          <w:sz w:val="18"/>
          <w:szCs w:val="18"/>
        </w:rPr>
        <w:t xml:space="preserve"> Flow diagram </w:t>
      </w:r>
      <w:r w:rsidR="00614AF0" w:rsidRPr="00A975EF">
        <w:rPr>
          <w:rFonts w:ascii="Times New Roman" w:hAnsi="Times New Roman"/>
          <w:i/>
          <w:iCs/>
          <w:sz w:val="18"/>
          <w:szCs w:val="18"/>
        </w:rPr>
        <w:t>of inclusion and exclusion criteria</w:t>
      </w:r>
    </w:p>
    <w:p w14:paraId="67F4120C" w14:textId="03C98E90" w:rsidR="0009383A" w:rsidRPr="00A975EF" w:rsidRDefault="0009383A" w:rsidP="004A47B2">
      <w:pPr>
        <w:spacing w:after="0"/>
        <w:jc w:val="both"/>
        <w:rPr>
          <w:rFonts w:ascii="Times New Roman" w:hAnsi="Times New Roman"/>
          <w:i/>
          <w:iCs/>
          <w:sz w:val="20"/>
          <w:szCs w:val="20"/>
        </w:rPr>
      </w:pPr>
    </w:p>
    <w:p w14:paraId="6E6A3CEA" w14:textId="3A294D86" w:rsidR="002C56FD" w:rsidRPr="00A975EF" w:rsidRDefault="00C36664" w:rsidP="002662EB">
      <w:pPr>
        <w:ind w:firstLine="230"/>
        <w:jc w:val="both"/>
        <w:rPr>
          <w:rFonts w:ascii="Times New Roman" w:hAnsi="Times New Roman"/>
          <w:sz w:val="24"/>
          <w:szCs w:val="24"/>
        </w:rPr>
      </w:pPr>
      <w:r w:rsidRPr="00A975EF">
        <w:rPr>
          <w:rFonts w:ascii="Times New Roman" w:hAnsi="Times New Roman"/>
          <w:noProof/>
          <w:sz w:val="24"/>
          <w:szCs w:val="24"/>
          <w:lang w:val="en-US"/>
        </w:rPr>
        <w:drawing>
          <wp:anchor distT="0" distB="0" distL="114300" distR="114300" simplePos="0" relativeHeight="251664384" behindDoc="0" locked="0" layoutInCell="1" allowOverlap="1" wp14:anchorId="6A8C682D" wp14:editId="75416485">
            <wp:simplePos x="0" y="0"/>
            <wp:positionH relativeFrom="column">
              <wp:posOffset>1270</wp:posOffset>
            </wp:positionH>
            <wp:positionV relativeFrom="paragraph">
              <wp:posOffset>2206625</wp:posOffset>
            </wp:positionV>
            <wp:extent cx="3582670" cy="2139950"/>
            <wp:effectExtent l="0" t="0" r="0" b="0"/>
            <wp:wrapSquare wrapText="bothSides"/>
            <wp:docPr id="2" name="Picture 2" descr="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2670" cy="2139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6443" w:rsidRPr="00A975EF">
        <w:rPr>
          <w:rFonts w:ascii="Times New Roman" w:hAnsi="Times New Roman"/>
          <w:sz w:val="24"/>
          <w:szCs w:val="24"/>
        </w:rPr>
        <w:t>Analysis of the 47 patients</w:t>
      </w:r>
      <w:r w:rsidR="00B77F4F" w:rsidRPr="00A975EF">
        <w:rPr>
          <w:rFonts w:ascii="Times New Roman" w:hAnsi="Times New Roman"/>
          <w:sz w:val="24"/>
          <w:szCs w:val="24"/>
        </w:rPr>
        <w:t xml:space="preserve"> yielded statistically significant outcomes for increased risk of naloxone for patients at or older than 65 years of age,</w:t>
      </w:r>
      <w:r w:rsidR="004D612D" w:rsidRPr="00A975EF">
        <w:rPr>
          <w:rFonts w:ascii="Times New Roman" w:hAnsi="Times New Roman"/>
          <w:sz w:val="24"/>
          <w:szCs w:val="24"/>
        </w:rPr>
        <w:t xml:space="preserve"> an</w:t>
      </w:r>
      <w:r w:rsidR="00B77F4F" w:rsidRPr="00A975EF">
        <w:rPr>
          <w:rFonts w:ascii="Times New Roman" w:hAnsi="Times New Roman"/>
          <w:sz w:val="24"/>
          <w:szCs w:val="24"/>
        </w:rPr>
        <w:t xml:space="preserve"> </w:t>
      </w:r>
      <w:r w:rsidR="004D612D" w:rsidRPr="00A975EF">
        <w:rPr>
          <w:rFonts w:ascii="Times New Roman" w:hAnsi="Times New Roman"/>
          <w:sz w:val="24"/>
          <w:szCs w:val="24"/>
        </w:rPr>
        <w:t>ICD-10 coded diagnosis of heart failure, and an ICD-10 coded diagnosis of renal impairment.</w:t>
      </w:r>
      <w:r w:rsidR="00B52530" w:rsidRPr="00A975EF">
        <w:rPr>
          <w:rFonts w:ascii="Times New Roman" w:hAnsi="Times New Roman"/>
          <w:sz w:val="24"/>
          <w:szCs w:val="24"/>
        </w:rPr>
        <w:t xml:space="preserve"> </w:t>
      </w:r>
      <w:r w:rsidR="00713247" w:rsidRPr="00A975EF">
        <w:rPr>
          <w:rFonts w:ascii="Times New Roman" w:hAnsi="Times New Roman"/>
          <w:sz w:val="24"/>
          <w:szCs w:val="24"/>
        </w:rPr>
        <w:t>Ther</w:t>
      </w:r>
      <w:r w:rsidR="00AB2691" w:rsidRPr="00A975EF">
        <w:rPr>
          <w:rFonts w:ascii="Times New Roman" w:hAnsi="Times New Roman"/>
          <w:sz w:val="24"/>
          <w:szCs w:val="24"/>
        </w:rPr>
        <w:t xml:space="preserve">e was also a statistically significant difference noted in route of opioid administration </w:t>
      </w:r>
      <w:r w:rsidR="00C42265" w:rsidRPr="00A975EF">
        <w:rPr>
          <w:rFonts w:ascii="Times New Roman" w:hAnsi="Times New Roman"/>
          <w:sz w:val="24"/>
          <w:szCs w:val="24"/>
        </w:rPr>
        <w:t xml:space="preserve">when comparing oral, intravenous, and transdermal routes. </w:t>
      </w:r>
      <w:r w:rsidR="000B0BA2" w:rsidRPr="00A975EF">
        <w:rPr>
          <w:rFonts w:ascii="Times New Roman" w:hAnsi="Times New Roman"/>
          <w:sz w:val="24"/>
          <w:szCs w:val="24"/>
        </w:rPr>
        <w:t>There was no difference noted between gender and body mass index</w:t>
      </w:r>
      <w:r w:rsidR="003A6A51" w:rsidRPr="00A975EF">
        <w:rPr>
          <w:rFonts w:ascii="Times New Roman" w:hAnsi="Times New Roman"/>
          <w:sz w:val="24"/>
          <w:szCs w:val="24"/>
        </w:rPr>
        <w:t xml:space="preserve"> (BMI). S</w:t>
      </w:r>
      <w:r w:rsidR="009C7252" w:rsidRPr="00A975EF">
        <w:rPr>
          <w:rFonts w:ascii="Times New Roman" w:hAnsi="Times New Roman"/>
          <w:sz w:val="24"/>
          <w:szCs w:val="24"/>
        </w:rPr>
        <w:t>ee Table 2</w:t>
      </w:r>
      <w:r w:rsidR="00093BF1" w:rsidRPr="00A975EF">
        <w:rPr>
          <w:rFonts w:ascii="Times New Roman" w:hAnsi="Times New Roman"/>
          <w:sz w:val="24"/>
          <w:szCs w:val="24"/>
        </w:rPr>
        <w:t xml:space="preserve"> and 3</w:t>
      </w:r>
      <w:r w:rsidR="009C7252" w:rsidRPr="00A975EF">
        <w:rPr>
          <w:rFonts w:ascii="Times New Roman" w:hAnsi="Times New Roman"/>
          <w:sz w:val="24"/>
          <w:szCs w:val="24"/>
        </w:rPr>
        <w:t xml:space="preserve"> for full details</w:t>
      </w:r>
      <w:r w:rsidR="003A6A51" w:rsidRPr="00A975EF">
        <w:rPr>
          <w:rFonts w:ascii="Times New Roman" w:hAnsi="Times New Roman"/>
          <w:sz w:val="24"/>
          <w:szCs w:val="24"/>
        </w:rPr>
        <w:t xml:space="preserve">. </w:t>
      </w:r>
    </w:p>
    <w:p w14:paraId="21DDB158" w14:textId="3820E811" w:rsidR="002F2E62" w:rsidRPr="00A975EF" w:rsidRDefault="002F2E62" w:rsidP="002F2E62">
      <w:pPr>
        <w:spacing w:after="240"/>
        <w:jc w:val="both"/>
        <w:rPr>
          <w:rFonts w:ascii="Times New Roman" w:hAnsi="Times New Roman"/>
          <w:i/>
          <w:iCs/>
          <w:noProof/>
          <w:sz w:val="18"/>
          <w:szCs w:val="18"/>
        </w:rPr>
      </w:pPr>
      <w:r w:rsidRPr="00A975EF">
        <w:rPr>
          <w:rFonts w:ascii="Times New Roman" w:hAnsi="Times New Roman"/>
          <w:i/>
          <w:iCs/>
          <w:noProof/>
          <w:sz w:val="18"/>
          <w:szCs w:val="18"/>
        </w:rPr>
        <w:t>Table 1 Baseline characteristics</w:t>
      </w:r>
    </w:p>
    <w:p w14:paraId="7BF7078A" w14:textId="10D7EAAE" w:rsidR="004B0DD9" w:rsidRPr="00A975EF" w:rsidRDefault="00B17F38" w:rsidP="004B0DD9">
      <w:pPr>
        <w:spacing w:before="200" w:after="120"/>
        <w:rPr>
          <w:rFonts w:ascii="Times New Roman" w:hAnsi="Times New Roman"/>
          <w:b/>
          <w:sz w:val="28"/>
        </w:rPr>
      </w:pPr>
      <w:r w:rsidRPr="00A975EF">
        <w:rPr>
          <w:rFonts w:ascii="Times New Roman" w:hAnsi="Times New Roman"/>
          <w:b/>
          <w:sz w:val="28"/>
        </w:rPr>
        <w:t>4. Discussion</w:t>
      </w:r>
    </w:p>
    <w:p w14:paraId="7F88845C" w14:textId="77777777" w:rsidR="00C36664" w:rsidRDefault="00B17F38" w:rsidP="00C36664">
      <w:pPr>
        <w:spacing w:before="200" w:after="120"/>
        <w:ind w:firstLine="230"/>
        <w:jc w:val="both"/>
        <w:rPr>
          <w:rFonts w:ascii="Times New Roman" w:hAnsi="Times New Roman"/>
          <w:noProof/>
          <w:sz w:val="24"/>
          <w:szCs w:val="28"/>
        </w:rPr>
      </w:pPr>
      <w:r w:rsidRPr="00A975EF">
        <w:rPr>
          <w:rFonts w:ascii="Times New Roman" w:hAnsi="Times New Roman"/>
          <w:bCs/>
          <w:sz w:val="24"/>
          <w:szCs w:val="20"/>
        </w:rPr>
        <w:t>The results show that patients with advanced age, heart failure, and significant renal impairment have a higher risk of receiving naloxone after administration of an opioid.</w:t>
      </w:r>
      <w:r w:rsidR="00C0528A" w:rsidRPr="00A975EF">
        <w:rPr>
          <w:rFonts w:ascii="Times New Roman" w:hAnsi="Times New Roman"/>
          <w:bCs/>
          <w:sz w:val="24"/>
          <w:szCs w:val="20"/>
        </w:rPr>
        <w:t xml:space="preserve"> </w:t>
      </w:r>
      <w:r w:rsidR="00D4198B" w:rsidRPr="00A975EF">
        <w:rPr>
          <w:rFonts w:ascii="Times New Roman" w:hAnsi="Times New Roman"/>
          <w:noProof/>
          <w:sz w:val="24"/>
          <w:szCs w:val="28"/>
        </w:rPr>
        <w:t>These results align with prior studies conducted and help to further validate this increased risk of opioid adverse effects in these patient populations.</w:t>
      </w:r>
    </w:p>
    <w:p w14:paraId="1745E1BE" w14:textId="3B712AEC" w:rsidR="006524DB" w:rsidRPr="00C36664" w:rsidRDefault="006A476B" w:rsidP="00C36664">
      <w:pPr>
        <w:spacing w:before="200" w:after="120"/>
        <w:ind w:firstLine="230"/>
        <w:jc w:val="both"/>
        <w:rPr>
          <w:rFonts w:ascii="Times New Roman" w:hAnsi="Times New Roman"/>
          <w:b/>
          <w:sz w:val="28"/>
        </w:rPr>
      </w:pPr>
      <w:r w:rsidRPr="00A975EF">
        <w:rPr>
          <w:rFonts w:ascii="Times New Roman" w:hAnsi="Times New Roman"/>
          <w:noProof/>
          <w:sz w:val="24"/>
          <w:szCs w:val="28"/>
        </w:rPr>
        <w:t>The one exception is the difference in body mass</w:t>
      </w:r>
      <w:r w:rsidR="005C6C2E" w:rsidRPr="00A975EF">
        <w:rPr>
          <w:rFonts w:ascii="Times New Roman" w:hAnsi="Times New Roman"/>
          <w:noProof/>
          <w:sz w:val="24"/>
          <w:szCs w:val="28"/>
        </w:rPr>
        <w:t>,</w:t>
      </w:r>
      <w:r w:rsidR="00FD4DD8" w:rsidRPr="00A975EF">
        <w:rPr>
          <w:rFonts w:ascii="Times New Roman" w:hAnsi="Times New Roman"/>
          <w:noProof/>
          <w:sz w:val="24"/>
          <w:szCs w:val="28"/>
        </w:rPr>
        <w:t xml:space="preserve"> which has been </w:t>
      </w:r>
      <w:r w:rsidR="00370C12" w:rsidRPr="00A975EF">
        <w:rPr>
          <w:rFonts w:ascii="Times New Roman" w:hAnsi="Times New Roman"/>
          <w:noProof/>
          <w:sz w:val="24"/>
          <w:szCs w:val="28"/>
        </w:rPr>
        <w:t xml:space="preserve">often thought to be a risk factor. Interestingly, the study </w:t>
      </w:r>
      <w:r w:rsidR="00154AE3" w:rsidRPr="00A975EF">
        <w:rPr>
          <w:rFonts w:ascii="Times New Roman" w:hAnsi="Times New Roman"/>
          <w:noProof/>
          <w:sz w:val="24"/>
          <w:szCs w:val="28"/>
        </w:rPr>
        <w:t>published by Vu and colleagues</w:t>
      </w:r>
      <w:r w:rsidR="00ED78F9" w:rsidRPr="00A975EF">
        <w:rPr>
          <w:rFonts w:ascii="Times New Roman" w:hAnsi="Times New Roman"/>
          <w:noProof/>
          <w:sz w:val="24"/>
          <w:szCs w:val="28"/>
        </w:rPr>
        <w:t xml:space="preserve"> found that a patient’s </w:t>
      </w:r>
      <w:r w:rsidR="00207972" w:rsidRPr="00A975EF">
        <w:rPr>
          <w:rFonts w:ascii="Times New Roman" w:hAnsi="Times New Roman"/>
          <w:noProof/>
          <w:sz w:val="24"/>
          <w:szCs w:val="28"/>
        </w:rPr>
        <w:t>BMI</w:t>
      </w:r>
      <w:r w:rsidR="00ED78F9" w:rsidRPr="00A975EF">
        <w:rPr>
          <w:rFonts w:ascii="Times New Roman" w:hAnsi="Times New Roman"/>
          <w:noProof/>
          <w:sz w:val="24"/>
          <w:szCs w:val="28"/>
        </w:rPr>
        <w:t xml:space="preserve"> was</w:t>
      </w:r>
      <w:r w:rsidR="00370C12" w:rsidRPr="00A975EF">
        <w:rPr>
          <w:rFonts w:ascii="Times New Roman" w:hAnsi="Times New Roman"/>
          <w:noProof/>
          <w:sz w:val="24"/>
          <w:szCs w:val="28"/>
        </w:rPr>
        <w:t xml:space="preserve"> </w:t>
      </w:r>
      <w:r w:rsidR="00ED78F9" w:rsidRPr="00A975EF">
        <w:rPr>
          <w:rFonts w:ascii="Times New Roman" w:hAnsi="Times New Roman"/>
          <w:noProof/>
          <w:sz w:val="24"/>
          <w:szCs w:val="28"/>
        </w:rPr>
        <w:t>not associated with opioid overdose and therefore naloxone administration</w:t>
      </w:r>
      <w:r w:rsidR="004D6093" w:rsidRPr="00A975EF">
        <w:rPr>
          <w:rFonts w:ascii="Times New Roman" w:hAnsi="Times New Roman"/>
          <w:noProof/>
          <w:sz w:val="24"/>
          <w:szCs w:val="28"/>
        </w:rPr>
        <w:t xml:space="preserve"> as well</w:t>
      </w:r>
      <w:r w:rsidR="00ED78F9" w:rsidRPr="00A975EF">
        <w:rPr>
          <w:rFonts w:ascii="Times New Roman" w:hAnsi="Times New Roman"/>
          <w:noProof/>
          <w:sz w:val="24"/>
          <w:szCs w:val="28"/>
        </w:rPr>
        <w:t>.</w:t>
      </w:r>
      <w:r w:rsidR="004D6093" w:rsidRPr="00A975EF">
        <w:rPr>
          <w:rFonts w:ascii="Times New Roman" w:hAnsi="Times New Roman"/>
          <w:noProof/>
          <w:sz w:val="24"/>
          <w:szCs w:val="28"/>
          <w:vertAlign w:val="superscript"/>
        </w:rPr>
        <w:t>3</w:t>
      </w:r>
      <w:r w:rsidR="00591759" w:rsidRPr="00A975EF">
        <w:rPr>
          <w:rFonts w:ascii="Times New Roman" w:hAnsi="Times New Roman"/>
          <w:noProof/>
          <w:sz w:val="24"/>
          <w:szCs w:val="28"/>
        </w:rPr>
        <w:t xml:space="preserve"> </w:t>
      </w:r>
      <w:r w:rsidR="00FF7C86" w:rsidRPr="00A975EF">
        <w:rPr>
          <w:rFonts w:ascii="Times New Roman" w:hAnsi="Times New Roman"/>
          <w:noProof/>
          <w:sz w:val="24"/>
          <w:szCs w:val="28"/>
        </w:rPr>
        <w:t>This could potentially be explained by</w:t>
      </w:r>
      <w:r w:rsidR="00207972" w:rsidRPr="00A975EF">
        <w:rPr>
          <w:rFonts w:ascii="Times New Roman" w:hAnsi="Times New Roman"/>
          <w:noProof/>
          <w:sz w:val="24"/>
          <w:szCs w:val="28"/>
        </w:rPr>
        <w:t xml:space="preserve"> using a BMI of greater than or equal to 30</w:t>
      </w:r>
      <w:r w:rsidR="00B26157" w:rsidRPr="00A975EF">
        <w:rPr>
          <w:rFonts w:ascii="Times New Roman" w:hAnsi="Times New Roman"/>
          <w:noProof/>
          <w:sz w:val="24"/>
          <w:szCs w:val="28"/>
        </w:rPr>
        <w:t xml:space="preserve"> which would include more patients. O</w:t>
      </w:r>
      <w:r w:rsidR="00E854B7" w:rsidRPr="00A975EF">
        <w:rPr>
          <w:rFonts w:ascii="Times New Roman" w:hAnsi="Times New Roman"/>
          <w:noProof/>
          <w:sz w:val="24"/>
          <w:szCs w:val="28"/>
        </w:rPr>
        <w:t>ther analyses</w:t>
      </w:r>
      <w:r w:rsidR="00B26157" w:rsidRPr="00A975EF">
        <w:rPr>
          <w:rFonts w:ascii="Times New Roman" w:hAnsi="Times New Roman"/>
          <w:noProof/>
          <w:sz w:val="24"/>
          <w:szCs w:val="28"/>
        </w:rPr>
        <w:t xml:space="preserve"> could</w:t>
      </w:r>
      <w:r w:rsidR="00E854B7" w:rsidRPr="00A975EF">
        <w:rPr>
          <w:rFonts w:ascii="Times New Roman" w:hAnsi="Times New Roman"/>
          <w:noProof/>
          <w:sz w:val="24"/>
          <w:szCs w:val="28"/>
        </w:rPr>
        <w:t xml:space="preserve"> </w:t>
      </w:r>
      <w:r w:rsidR="00025E5E" w:rsidRPr="00A975EF">
        <w:rPr>
          <w:rFonts w:ascii="Times New Roman" w:hAnsi="Times New Roman"/>
          <w:noProof/>
          <w:sz w:val="24"/>
          <w:szCs w:val="28"/>
        </w:rPr>
        <w:t xml:space="preserve">have </w:t>
      </w:r>
      <w:r w:rsidR="00E854B7" w:rsidRPr="00A975EF">
        <w:rPr>
          <w:rFonts w:ascii="Times New Roman" w:hAnsi="Times New Roman"/>
          <w:noProof/>
          <w:sz w:val="24"/>
          <w:szCs w:val="28"/>
        </w:rPr>
        <w:t>used a higher BMI</w:t>
      </w:r>
      <w:r w:rsidR="00877314" w:rsidRPr="00A975EF">
        <w:rPr>
          <w:rFonts w:ascii="Times New Roman" w:hAnsi="Times New Roman"/>
          <w:noProof/>
          <w:sz w:val="24"/>
          <w:szCs w:val="28"/>
        </w:rPr>
        <w:t xml:space="preserve">. </w:t>
      </w:r>
      <w:r w:rsidR="008158B4" w:rsidRPr="00A975EF">
        <w:rPr>
          <w:rFonts w:ascii="Times New Roman" w:hAnsi="Times New Roman"/>
          <w:noProof/>
          <w:sz w:val="24"/>
          <w:szCs w:val="28"/>
        </w:rPr>
        <w:t xml:space="preserve">A BMI of 30 </w:t>
      </w:r>
      <w:r w:rsidR="00485107" w:rsidRPr="00A975EF">
        <w:rPr>
          <w:rFonts w:ascii="Times New Roman" w:hAnsi="Times New Roman"/>
          <w:noProof/>
          <w:sz w:val="24"/>
          <w:szCs w:val="28"/>
        </w:rPr>
        <w:t>and greater was analyzed in</w:t>
      </w:r>
      <w:r w:rsidR="005D7E8B" w:rsidRPr="00A975EF">
        <w:rPr>
          <w:rFonts w:ascii="Times New Roman" w:hAnsi="Times New Roman"/>
          <w:noProof/>
          <w:sz w:val="24"/>
          <w:szCs w:val="28"/>
        </w:rPr>
        <w:t xml:space="preserve"> this study </w:t>
      </w:r>
      <w:r w:rsidR="00025E5E" w:rsidRPr="00A975EF">
        <w:rPr>
          <w:rFonts w:ascii="Times New Roman" w:hAnsi="Times New Roman"/>
          <w:noProof/>
          <w:sz w:val="24"/>
          <w:szCs w:val="28"/>
        </w:rPr>
        <w:t xml:space="preserve">as it </w:t>
      </w:r>
      <w:r w:rsidR="00E36288" w:rsidRPr="00A975EF">
        <w:rPr>
          <w:rFonts w:ascii="Times New Roman" w:hAnsi="Times New Roman"/>
          <w:noProof/>
          <w:sz w:val="24"/>
          <w:szCs w:val="28"/>
        </w:rPr>
        <w:t>indicates obese status for most individuals.</w:t>
      </w:r>
    </w:p>
    <w:p w14:paraId="4C0FDAFD" w14:textId="2A4DAD2D" w:rsidR="007C5244" w:rsidRPr="00A975EF" w:rsidRDefault="00872C7A" w:rsidP="00C55A9C">
      <w:pPr>
        <w:pStyle w:val="IOPAbsText"/>
        <w:ind w:right="14" w:firstLine="230"/>
        <w:jc w:val="both"/>
        <w:rPr>
          <w:i/>
          <w:iCs/>
          <w:noProof/>
          <w:sz w:val="24"/>
          <w:szCs w:val="28"/>
        </w:rPr>
      </w:pPr>
      <w:r w:rsidRPr="00A975EF">
        <w:rPr>
          <w:noProof/>
          <w:sz w:val="24"/>
          <w:szCs w:val="28"/>
        </w:rPr>
        <w:t>Presence of sleep apnea was not collected in this study due to poor</w:t>
      </w:r>
      <w:r w:rsidR="00C53A51" w:rsidRPr="00A975EF">
        <w:rPr>
          <w:noProof/>
          <w:sz w:val="24"/>
          <w:szCs w:val="28"/>
        </w:rPr>
        <w:t xml:space="preserve"> and unreliable documentation in the patient’s chart. Concomitant use of </w:t>
      </w:r>
      <w:r w:rsidR="005764A0" w:rsidRPr="00A975EF">
        <w:rPr>
          <w:noProof/>
          <w:sz w:val="24"/>
          <w:szCs w:val="28"/>
        </w:rPr>
        <w:t>CNS depressants including dose, time, and route was collected,</w:t>
      </w:r>
      <w:r w:rsidR="004A7D01" w:rsidRPr="00A975EF">
        <w:rPr>
          <w:noProof/>
          <w:sz w:val="24"/>
          <w:szCs w:val="28"/>
        </w:rPr>
        <w:t xml:space="preserve"> but</w:t>
      </w:r>
      <w:r w:rsidR="005764A0" w:rsidRPr="00A975EF">
        <w:rPr>
          <w:noProof/>
          <w:sz w:val="24"/>
          <w:szCs w:val="28"/>
        </w:rPr>
        <w:t xml:space="preserve"> was not in</w:t>
      </w:r>
      <w:r w:rsidR="004A7D01" w:rsidRPr="00A975EF">
        <w:rPr>
          <w:noProof/>
          <w:sz w:val="24"/>
          <w:szCs w:val="28"/>
        </w:rPr>
        <w:t>cluded</w:t>
      </w:r>
      <w:r w:rsidR="003E0A33" w:rsidRPr="00A975EF">
        <w:rPr>
          <w:noProof/>
          <w:sz w:val="24"/>
          <w:szCs w:val="28"/>
        </w:rPr>
        <w:t xml:space="preserve"> in</w:t>
      </w:r>
      <w:r w:rsidR="005764A0" w:rsidRPr="00A975EF">
        <w:rPr>
          <w:noProof/>
          <w:sz w:val="24"/>
          <w:szCs w:val="28"/>
        </w:rPr>
        <w:t xml:space="preserve"> the final analysis. </w:t>
      </w:r>
      <w:r w:rsidR="00DA79E1" w:rsidRPr="00A975EF">
        <w:rPr>
          <w:noProof/>
          <w:sz w:val="24"/>
          <w:szCs w:val="28"/>
        </w:rPr>
        <w:t>After</w:t>
      </w:r>
      <w:r w:rsidR="00293AEC" w:rsidRPr="00A975EF">
        <w:rPr>
          <w:noProof/>
          <w:sz w:val="24"/>
          <w:szCs w:val="28"/>
        </w:rPr>
        <w:t xml:space="preserve"> review of the </w:t>
      </w:r>
      <w:r w:rsidR="00B5338A" w:rsidRPr="00A975EF">
        <w:rPr>
          <w:noProof/>
          <w:sz w:val="24"/>
          <w:szCs w:val="28"/>
        </w:rPr>
        <w:t>CNS depressants</w:t>
      </w:r>
      <w:r w:rsidR="004D2DF9" w:rsidRPr="00A975EF">
        <w:rPr>
          <w:noProof/>
          <w:sz w:val="24"/>
          <w:szCs w:val="28"/>
        </w:rPr>
        <w:t>, there was no visual trend</w:t>
      </w:r>
      <w:r w:rsidR="00046A7C" w:rsidRPr="00A975EF">
        <w:rPr>
          <w:noProof/>
          <w:sz w:val="24"/>
          <w:szCs w:val="28"/>
        </w:rPr>
        <w:t xml:space="preserve"> and due to time constraints a formal analysis was not conducted. However, it is a well-known fact that </w:t>
      </w:r>
      <w:r w:rsidR="00D60139" w:rsidRPr="00A975EF">
        <w:rPr>
          <w:noProof/>
          <w:sz w:val="24"/>
          <w:szCs w:val="28"/>
        </w:rPr>
        <w:t xml:space="preserve">the </w:t>
      </w:r>
      <w:r w:rsidR="001803C2" w:rsidRPr="00A975EF">
        <w:rPr>
          <w:noProof/>
          <w:sz w:val="24"/>
          <w:szCs w:val="28"/>
        </w:rPr>
        <w:t xml:space="preserve">interaction between benzodiazepines and opioids can potentially cause life-threatening </w:t>
      </w:r>
      <w:r w:rsidR="00FB60EA" w:rsidRPr="00A975EF">
        <w:rPr>
          <w:noProof/>
          <w:sz w:val="24"/>
          <w:szCs w:val="28"/>
        </w:rPr>
        <w:t>respiratory depression.</w:t>
      </w:r>
      <w:r w:rsidR="00D52D9F" w:rsidRPr="00A975EF">
        <w:rPr>
          <w:noProof/>
          <w:sz w:val="24"/>
          <w:szCs w:val="28"/>
        </w:rPr>
        <w:t xml:space="preserve"> Yun</w:t>
      </w:r>
      <w:r w:rsidR="004D6093" w:rsidRPr="00A975EF">
        <w:rPr>
          <w:noProof/>
          <w:sz w:val="24"/>
          <w:szCs w:val="28"/>
        </w:rPr>
        <w:t xml:space="preserve">g and colleagues </w:t>
      </w:r>
      <w:r w:rsidR="009F4EFA" w:rsidRPr="00A975EF">
        <w:rPr>
          <w:noProof/>
          <w:sz w:val="24"/>
          <w:szCs w:val="28"/>
        </w:rPr>
        <w:t xml:space="preserve">found that gabapentin may pose as a risk factor </w:t>
      </w:r>
      <w:r w:rsidR="003D4B9A" w:rsidRPr="00A975EF">
        <w:rPr>
          <w:noProof/>
          <w:sz w:val="24"/>
          <w:szCs w:val="28"/>
        </w:rPr>
        <w:t>for oversedation with concomitant opioid use</w:t>
      </w:r>
      <w:r w:rsidR="00841388" w:rsidRPr="00A975EF">
        <w:rPr>
          <w:noProof/>
          <w:sz w:val="24"/>
          <w:szCs w:val="28"/>
        </w:rPr>
        <w:t xml:space="preserve">. </w:t>
      </w:r>
      <w:r w:rsidR="00C55A9C" w:rsidRPr="00A975EF">
        <w:rPr>
          <w:noProof/>
          <w:sz w:val="24"/>
          <w:szCs w:val="28"/>
        </w:rPr>
        <w:t xml:space="preserve">In regards to the statistically significant difference of naloxone use based on opioid route of administration, this result should be taken with a grain of salt as there is a much lower incidence of transdermal opioid administration compared to oral and intravenous opioid administration. There is also </w:t>
      </w:r>
      <w:r w:rsidR="00837792" w:rsidRPr="00A975EF">
        <w:rPr>
          <w:noProof/>
          <w:lang w:val="en-US"/>
        </w:rPr>
        <mc:AlternateContent>
          <mc:Choice Requires="wps">
            <w:drawing>
              <wp:anchor distT="45720" distB="45720" distL="114300" distR="114300" simplePos="0" relativeHeight="251655167" behindDoc="1" locked="0" layoutInCell="1" allowOverlap="1" wp14:anchorId="65ABE524" wp14:editId="34BD54EE">
                <wp:simplePos x="0" y="0"/>
                <wp:positionH relativeFrom="column">
                  <wp:posOffset>-335915</wp:posOffset>
                </wp:positionH>
                <wp:positionV relativeFrom="paragraph">
                  <wp:posOffset>2254250</wp:posOffset>
                </wp:positionV>
                <wp:extent cx="4201795" cy="254000"/>
                <wp:effectExtent l="0" t="0" r="27305" b="1270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795" cy="254000"/>
                        </a:xfrm>
                        <a:prstGeom prst="rect">
                          <a:avLst/>
                        </a:prstGeom>
                        <a:solidFill>
                          <a:srgbClr val="FFFFFF"/>
                        </a:solidFill>
                        <a:ln w="9525">
                          <a:solidFill>
                            <a:srgbClr val="FFFFFF"/>
                          </a:solidFill>
                          <a:miter lim="800000"/>
                          <a:headEnd/>
                          <a:tailEnd/>
                        </a:ln>
                      </wps:spPr>
                      <wps:txbx>
                        <w:txbxContent>
                          <w:p w14:paraId="5E6FBFF3" w14:textId="47512EEA" w:rsidR="001C3186" w:rsidRPr="00365FC2" w:rsidRDefault="001C3186" w:rsidP="00FF3FFD">
                            <w:pPr>
                              <w:spacing w:after="0"/>
                              <w:rPr>
                                <w:rFonts w:ascii="Times New Roman" w:hAnsi="Times New Roman"/>
                                <w:i/>
                                <w:iCs/>
                                <w:sz w:val="18"/>
                                <w:szCs w:val="18"/>
                              </w:rPr>
                            </w:pPr>
                            <w:r w:rsidRPr="00365FC2">
                              <w:rPr>
                                <w:rFonts w:ascii="Times New Roman" w:hAnsi="Times New Roman"/>
                                <w:i/>
                                <w:iCs/>
                                <w:sz w:val="18"/>
                                <w:szCs w:val="18"/>
                              </w:rPr>
                              <w:t xml:space="preserve">Table </w:t>
                            </w:r>
                            <w:r>
                              <w:rPr>
                                <w:rFonts w:ascii="Times New Roman" w:hAnsi="Times New Roman"/>
                                <w:i/>
                                <w:iCs/>
                                <w:sz w:val="18"/>
                                <w:szCs w:val="18"/>
                              </w:rPr>
                              <w:t>2</w:t>
                            </w:r>
                            <w:r w:rsidR="00BD33C6">
                              <w:rPr>
                                <w:rFonts w:ascii="Times New Roman" w:hAnsi="Times New Roman"/>
                                <w:i/>
                                <w:iCs/>
                                <w:sz w:val="18"/>
                                <w:szCs w:val="18"/>
                              </w:rPr>
                              <w:t xml:space="preserve"> Demographic </w:t>
                            </w:r>
                            <w:r w:rsidR="004525B1">
                              <w:rPr>
                                <w:rFonts w:ascii="Times New Roman" w:hAnsi="Times New Roman"/>
                                <w:i/>
                                <w:iCs/>
                                <w:sz w:val="18"/>
                                <w:szCs w:val="18"/>
                              </w:rPr>
                              <w:t>r</w:t>
                            </w:r>
                            <w:r w:rsidR="00BD33C6">
                              <w:rPr>
                                <w:rFonts w:ascii="Times New Roman" w:hAnsi="Times New Roman"/>
                                <w:i/>
                                <w:iCs/>
                                <w:sz w:val="18"/>
                                <w:szCs w:val="18"/>
                              </w:rPr>
                              <w:t>esults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ABE524" id="_x0000_t202" coordsize="21600,21600" o:spt="202" path="m,l,21600r21600,l21600,xe">
                <v:stroke joinstyle="miter"/>
                <v:path gradientshapeok="t" o:connecttype="rect"/>
              </v:shapetype>
              <v:shape id="Text Box 7" o:spid="_x0000_s1026" type="#_x0000_t202" style="position:absolute;left:0;text-align:left;margin-left:-26.45pt;margin-top:177.5pt;width:330.85pt;height:20pt;z-index:-2516613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" strokecolor="white">
                <v:textbox>
                  <w:txbxContent>
                    <w:p w14:paraId="5E6FBFF3" w14:textId="47512EEA" w:rsidR="001C3186" w:rsidRPr="00365FC2" w:rsidRDefault="001C3186" w:rsidP="00FF3FFD">
                      <w:pPr>
                        <w:spacing w:after="0"/>
                        <w:rPr>
                          <w:rFonts w:ascii="Times New Roman" w:hAnsi="Times New Roman"/>
                          <w:i/>
                          <w:iCs/>
                          <w:sz w:val="18"/>
                          <w:szCs w:val="18"/>
                        </w:rPr>
                      </w:pPr>
                      <w:r w:rsidRPr="00365FC2">
                        <w:rPr>
                          <w:rFonts w:ascii="Times New Roman" w:hAnsi="Times New Roman"/>
                          <w:i/>
                          <w:iCs/>
                          <w:sz w:val="18"/>
                          <w:szCs w:val="18"/>
                        </w:rPr>
                        <w:t xml:space="preserve">Table </w:t>
                      </w:r>
                      <w:r>
                        <w:rPr>
                          <w:rFonts w:ascii="Times New Roman" w:hAnsi="Times New Roman"/>
                          <w:i/>
                          <w:iCs/>
                          <w:sz w:val="18"/>
                          <w:szCs w:val="18"/>
                        </w:rPr>
                        <w:t>2</w:t>
                      </w:r>
                      <w:r w:rsidR="00BD33C6">
                        <w:rPr>
                          <w:rFonts w:ascii="Times New Roman" w:hAnsi="Times New Roman"/>
                          <w:i/>
                          <w:iCs/>
                          <w:sz w:val="18"/>
                          <w:szCs w:val="18"/>
                        </w:rPr>
                        <w:t xml:space="preserve"> Demographic </w:t>
                      </w:r>
                      <w:r w:rsidR="004525B1">
                        <w:rPr>
                          <w:rFonts w:ascii="Times New Roman" w:hAnsi="Times New Roman"/>
                          <w:i/>
                          <w:iCs/>
                          <w:sz w:val="18"/>
                          <w:szCs w:val="18"/>
                        </w:rPr>
                        <w:t>r</w:t>
                      </w:r>
                      <w:r w:rsidR="00BD33C6">
                        <w:rPr>
                          <w:rFonts w:ascii="Times New Roman" w:hAnsi="Times New Roman"/>
                          <w:i/>
                          <w:iCs/>
                          <w:sz w:val="18"/>
                          <w:szCs w:val="18"/>
                        </w:rPr>
                        <w:t>esults</w:t>
                      </w:r>
                    </w:p>
                  </w:txbxContent>
                </v:textbox>
                <w10:wrap type="square"/>
              </v:shape>
            </w:pict>
          </mc:Fallback>
        </mc:AlternateContent>
      </w:r>
      <w:r w:rsidR="00837792" w:rsidRPr="00A975EF">
        <w:rPr>
          <w:noProof/>
          <w:lang w:val="en-US"/>
        </w:rPr>
        <w:drawing>
          <wp:anchor distT="0" distB="0" distL="114300" distR="114300" simplePos="0" relativeHeight="251661312" behindDoc="1" locked="0" layoutInCell="1" allowOverlap="1" wp14:anchorId="76CB9C97" wp14:editId="3F60DE0A">
            <wp:simplePos x="0" y="0"/>
            <wp:positionH relativeFrom="column">
              <wp:posOffset>-335915</wp:posOffset>
            </wp:positionH>
            <wp:positionV relativeFrom="paragraph">
              <wp:posOffset>0</wp:posOffset>
            </wp:positionV>
            <wp:extent cx="4201795" cy="2273300"/>
            <wp:effectExtent l="0" t="0" r="8255" b="0"/>
            <wp:wrapTight wrapText="bothSides">
              <wp:wrapPolygon edited="0">
                <wp:start x="0" y="0"/>
                <wp:lineTo x="0" y="21359"/>
                <wp:lineTo x="21545" y="21359"/>
                <wp:lineTo x="21545" y="0"/>
                <wp:lineTo x="0" y="0"/>
              </wp:wrapPolygon>
            </wp:wrapTight>
            <wp:docPr id="12" name="Picture 12" descr="Tab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abl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01795" cy="2273300"/>
                    </a:xfrm>
                    <a:prstGeom prst="rect">
                      <a:avLst/>
                    </a:prstGeom>
                    <a:noFill/>
                  </pic:spPr>
                </pic:pic>
              </a:graphicData>
            </a:graphic>
            <wp14:sizeRelH relativeFrom="page">
              <wp14:pctWidth>0</wp14:pctWidth>
            </wp14:sizeRelH>
            <wp14:sizeRelV relativeFrom="page">
              <wp14:pctHeight>0</wp14:pctHeight>
            </wp14:sizeRelV>
          </wp:anchor>
        </w:drawing>
      </w:r>
      <w:r w:rsidR="00C55A9C" w:rsidRPr="00A975EF">
        <w:rPr>
          <w:noProof/>
          <w:sz w:val="24"/>
          <w:szCs w:val="28"/>
        </w:rPr>
        <w:t>the large conf</w:t>
      </w:r>
      <w:r w:rsidR="007313EA" w:rsidRPr="00A975EF">
        <w:rPr>
          <w:noProof/>
          <w:sz w:val="24"/>
          <w:szCs w:val="28"/>
        </w:rPr>
        <w:t>o</w:t>
      </w:r>
      <w:r w:rsidR="00C55A9C" w:rsidRPr="00A975EF">
        <w:rPr>
          <w:noProof/>
          <w:sz w:val="24"/>
          <w:szCs w:val="28"/>
        </w:rPr>
        <w:t>unding variable that these patient</w:t>
      </w:r>
      <w:r w:rsidR="007313EA" w:rsidRPr="00A975EF">
        <w:rPr>
          <w:noProof/>
          <w:sz w:val="24"/>
          <w:szCs w:val="28"/>
        </w:rPr>
        <w:t>s</w:t>
      </w:r>
      <w:r w:rsidR="00C55A9C" w:rsidRPr="00A975EF">
        <w:rPr>
          <w:noProof/>
          <w:sz w:val="24"/>
          <w:szCs w:val="28"/>
        </w:rPr>
        <w:t xml:space="preserve"> </w:t>
      </w:r>
      <w:r w:rsidR="00837792" w:rsidRPr="00A975EF">
        <w:rPr>
          <w:noProof/>
          <w:lang w:val="en-US"/>
        </w:rPr>
        <mc:AlternateContent>
          <mc:Choice Requires="wps">
            <w:drawing>
              <wp:anchor distT="45720" distB="45720" distL="114300" distR="114300" simplePos="0" relativeHeight="251656192" behindDoc="1" locked="0" layoutInCell="1" allowOverlap="1" wp14:anchorId="65ABE524" wp14:editId="00F94EA6">
                <wp:simplePos x="0" y="0"/>
                <wp:positionH relativeFrom="column">
                  <wp:posOffset>-335915</wp:posOffset>
                </wp:positionH>
                <wp:positionV relativeFrom="paragraph">
                  <wp:posOffset>3365500</wp:posOffset>
                </wp:positionV>
                <wp:extent cx="4201795" cy="273050"/>
                <wp:effectExtent l="0" t="0" r="27305"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795" cy="273050"/>
                        </a:xfrm>
                        <a:prstGeom prst="rect">
                          <a:avLst/>
                        </a:prstGeom>
                        <a:solidFill>
                          <a:srgbClr val="FFFFFF"/>
                        </a:solidFill>
                        <a:ln w="9525">
                          <a:solidFill>
                            <a:srgbClr val="FFFFFF"/>
                          </a:solidFill>
                          <a:miter lim="800000"/>
                          <a:headEnd/>
                          <a:tailEnd/>
                        </a:ln>
                      </wps:spPr>
                      <wps:txbx>
                        <w:txbxContent>
                          <w:p w14:paraId="10DDACC4" w14:textId="75F404F6" w:rsidR="00365FC2" w:rsidRPr="00365FC2" w:rsidRDefault="00365FC2">
                            <w:pPr>
                              <w:rPr>
                                <w:rFonts w:ascii="Times New Roman" w:hAnsi="Times New Roman"/>
                                <w:i/>
                                <w:iCs/>
                                <w:sz w:val="18"/>
                                <w:szCs w:val="18"/>
                              </w:rPr>
                            </w:pPr>
                            <w:r w:rsidRPr="00365FC2">
                              <w:rPr>
                                <w:rFonts w:ascii="Times New Roman" w:hAnsi="Times New Roman"/>
                                <w:i/>
                                <w:iCs/>
                                <w:sz w:val="18"/>
                                <w:szCs w:val="18"/>
                              </w:rPr>
                              <w:t xml:space="preserve">Table </w:t>
                            </w:r>
                            <w:r w:rsidR="00BC40AA">
                              <w:rPr>
                                <w:rFonts w:ascii="Times New Roman" w:hAnsi="Times New Roman"/>
                                <w:i/>
                                <w:iCs/>
                                <w:sz w:val="18"/>
                                <w:szCs w:val="18"/>
                              </w:rPr>
                              <w:t>3</w:t>
                            </w:r>
                            <w:r w:rsidR="0043733A">
                              <w:rPr>
                                <w:rFonts w:ascii="Times New Roman" w:hAnsi="Times New Roman"/>
                                <w:i/>
                                <w:iCs/>
                                <w:sz w:val="18"/>
                                <w:szCs w:val="18"/>
                              </w:rPr>
                              <w:t xml:space="preserve"> Route of </w:t>
                            </w:r>
                            <w:r w:rsidR="004525B1">
                              <w:rPr>
                                <w:rFonts w:ascii="Times New Roman" w:hAnsi="Times New Roman"/>
                                <w:i/>
                                <w:iCs/>
                                <w:sz w:val="18"/>
                                <w:szCs w:val="18"/>
                              </w:rPr>
                              <w:t>a</w:t>
                            </w:r>
                            <w:r w:rsidR="0043733A">
                              <w:rPr>
                                <w:rFonts w:ascii="Times New Roman" w:hAnsi="Times New Roman"/>
                                <w:i/>
                                <w:iCs/>
                                <w:sz w:val="18"/>
                                <w:szCs w:val="18"/>
                              </w:rPr>
                              <w:t xml:space="preserve">dministration </w:t>
                            </w:r>
                            <w:r w:rsidR="004525B1">
                              <w:rPr>
                                <w:rFonts w:ascii="Times New Roman" w:hAnsi="Times New Roman"/>
                                <w:i/>
                                <w:iCs/>
                                <w:sz w:val="18"/>
                                <w:szCs w:val="18"/>
                              </w:rPr>
                              <w:t>r</w:t>
                            </w:r>
                            <w:r w:rsidR="0043733A">
                              <w:rPr>
                                <w:rFonts w:ascii="Times New Roman" w:hAnsi="Times New Roman"/>
                                <w:i/>
                                <w:iCs/>
                                <w:sz w:val="18"/>
                                <w:szCs w:val="18"/>
                              </w:rPr>
                              <w:t>esults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ABE524" id="Text Box 2" o:spid="_x0000_s1027" type="#_x0000_t202" style="position:absolute;left:0;text-align:left;margin-left:-26.45pt;margin-top:265pt;width:330.85pt;height:2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" strokecolor="white">
                <v:textbox>
                  <w:txbxContent>
                    <w:p w14:paraId="10DDACC4" w14:textId="75F404F6" w:rsidR="00365FC2" w:rsidRPr="00365FC2" w:rsidRDefault="00365FC2">
                      <w:pPr>
                        <w:rPr>
                          <w:rFonts w:ascii="Times New Roman" w:hAnsi="Times New Roman"/>
                          <w:i/>
                          <w:iCs/>
                          <w:sz w:val="18"/>
                          <w:szCs w:val="18"/>
                        </w:rPr>
                      </w:pPr>
                      <w:r w:rsidRPr="00365FC2">
                        <w:rPr>
                          <w:rFonts w:ascii="Times New Roman" w:hAnsi="Times New Roman"/>
                          <w:i/>
                          <w:iCs/>
                          <w:sz w:val="18"/>
                          <w:szCs w:val="18"/>
                        </w:rPr>
                        <w:t xml:space="preserve">Table </w:t>
                      </w:r>
                      <w:r w:rsidR="00BC40AA">
                        <w:rPr>
                          <w:rFonts w:ascii="Times New Roman" w:hAnsi="Times New Roman"/>
                          <w:i/>
                          <w:iCs/>
                          <w:sz w:val="18"/>
                          <w:szCs w:val="18"/>
                        </w:rPr>
                        <w:t>3</w:t>
                      </w:r>
                      <w:r w:rsidR="0043733A">
                        <w:rPr>
                          <w:rFonts w:ascii="Times New Roman" w:hAnsi="Times New Roman"/>
                          <w:i/>
                          <w:iCs/>
                          <w:sz w:val="18"/>
                          <w:szCs w:val="18"/>
                        </w:rPr>
                        <w:t xml:space="preserve"> Route of </w:t>
                      </w:r>
                      <w:r w:rsidR="004525B1">
                        <w:rPr>
                          <w:rFonts w:ascii="Times New Roman" w:hAnsi="Times New Roman"/>
                          <w:i/>
                          <w:iCs/>
                          <w:sz w:val="18"/>
                          <w:szCs w:val="18"/>
                        </w:rPr>
                        <w:t>a</w:t>
                      </w:r>
                      <w:r w:rsidR="0043733A">
                        <w:rPr>
                          <w:rFonts w:ascii="Times New Roman" w:hAnsi="Times New Roman"/>
                          <w:i/>
                          <w:iCs/>
                          <w:sz w:val="18"/>
                          <w:szCs w:val="18"/>
                        </w:rPr>
                        <w:t xml:space="preserve">dministration </w:t>
                      </w:r>
                      <w:r w:rsidR="004525B1">
                        <w:rPr>
                          <w:rFonts w:ascii="Times New Roman" w:hAnsi="Times New Roman"/>
                          <w:i/>
                          <w:iCs/>
                          <w:sz w:val="18"/>
                          <w:szCs w:val="18"/>
                        </w:rPr>
                        <w:t>r</w:t>
                      </w:r>
                      <w:r w:rsidR="0043733A">
                        <w:rPr>
                          <w:rFonts w:ascii="Times New Roman" w:hAnsi="Times New Roman"/>
                          <w:i/>
                          <w:iCs/>
                          <w:sz w:val="18"/>
                          <w:szCs w:val="18"/>
                        </w:rPr>
                        <w:t>esults</w:t>
                      </w:r>
                    </w:p>
                  </w:txbxContent>
                </v:textbox>
                <w10:wrap type="square"/>
              </v:shape>
            </w:pict>
          </mc:Fallback>
        </mc:AlternateContent>
      </w:r>
      <w:r w:rsidR="00C55A9C" w:rsidRPr="00A975EF">
        <w:rPr>
          <w:noProof/>
          <w:sz w:val="24"/>
          <w:szCs w:val="28"/>
        </w:rPr>
        <w:t xml:space="preserve">were likely receiving a much higher morphine milligram equivalent (MME) dose compared to patients receiving opioids from the other routes. Further investigation is needed to prove if opioid route of administration independent of MME dose is associated with increased risk of naloxone use. </w:t>
      </w:r>
      <w:r w:rsidR="00F254DE" w:rsidRPr="00A975EF">
        <w:rPr>
          <w:noProof/>
          <w:sz w:val="24"/>
          <w:szCs w:val="28"/>
        </w:rPr>
        <w:t xml:space="preserve"> </w:t>
      </w:r>
    </w:p>
    <w:p w14:paraId="72135798" w14:textId="439F7D58" w:rsidR="00F254DE" w:rsidRPr="00A975EF" w:rsidRDefault="00D13DD2" w:rsidP="00F90A49">
      <w:pPr>
        <w:pStyle w:val="IOPAbsText"/>
        <w:ind w:right="14" w:firstLine="230"/>
        <w:jc w:val="both"/>
        <w:rPr>
          <w:noProof/>
          <w:sz w:val="24"/>
          <w:szCs w:val="28"/>
        </w:rPr>
      </w:pPr>
      <w:r w:rsidRPr="00A975EF">
        <w:rPr>
          <w:noProof/>
          <w:sz w:val="24"/>
          <w:szCs w:val="28"/>
        </w:rPr>
        <w:t xml:space="preserve">The main takeway of this </w:t>
      </w:r>
      <w:r w:rsidR="004E2F0F" w:rsidRPr="00A975EF">
        <w:rPr>
          <w:noProof/>
          <w:sz w:val="24"/>
          <w:szCs w:val="28"/>
        </w:rPr>
        <w:t xml:space="preserve">study </w:t>
      </w:r>
      <w:r w:rsidR="004F6AEE" w:rsidRPr="00A975EF">
        <w:rPr>
          <w:noProof/>
          <w:sz w:val="24"/>
          <w:szCs w:val="28"/>
        </w:rPr>
        <w:t xml:space="preserve">should be to take extra consideration when prescribing opioids to patient with advanced age, </w:t>
      </w:r>
      <w:r w:rsidR="00E62B33" w:rsidRPr="00A975EF">
        <w:rPr>
          <w:noProof/>
          <w:sz w:val="24"/>
          <w:szCs w:val="28"/>
        </w:rPr>
        <w:t>heart failure, and renal impairment. Pharmacists are in a</w:t>
      </w:r>
      <w:r w:rsidR="00667927" w:rsidRPr="00A975EF">
        <w:rPr>
          <w:noProof/>
          <w:sz w:val="24"/>
          <w:szCs w:val="28"/>
        </w:rPr>
        <w:t>n ideal</w:t>
      </w:r>
      <w:r w:rsidR="00E62B33" w:rsidRPr="00A975EF">
        <w:rPr>
          <w:noProof/>
          <w:sz w:val="24"/>
          <w:szCs w:val="28"/>
        </w:rPr>
        <w:t xml:space="preserve"> position </w:t>
      </w:r>
      <w:r w:rsidR="0053269E" w:rsidRPr="00A975EF">
        <w:rPr>
          <w:noProof/>
          <w:sz w:val="24"/>
          <w:szCs w:val="28"/>
        </w:rPr>
        <w:t xml:space="preserve">to help </w:t>
      </w:r>
      <w:r w:rsidR="00AF30AD" w:rsidRPr="00A975EF">
        <w:rPr>
          <w:noProof/>
          <w:sz w:val="24"/>
          <w:szCs w:val="28"/>
        </w:rPr>
        <w:t xml:space="preserve">assist providers when choosing what </w:t>
      </w:r>
      <w:r w:rsidR="00F90A49" w:rsidRPr="00A975EF">
        <w:rPr>
          <w:noProof/>
          <w:sz w:val="24"/>
          <w:szCs w:val="28"/>
        </w:rPr>
        <w:t>analgesia to initiat</w:t>
      </w:r>
      <w:r w:rsidR="000A7723" w:rsidRPr="00A975EF">
        <w:rPr>
          <w:noProof/>
          <w:sz w:val="24"/>
          <w:szCs w:val="28"/>
        </w:rPr>
        <w:t>e in</w:t>
      </w:r>
      <w:r w:rsidR="00F90A49" w:rsidRPr="00A975EF">
        <w:rPr>
          <w:noProof/>
          <w:sz w:val="24"/>
          <w:szCs w:val="28"/>
        </w:rPr>
        <w:t xml:space="preserve"> these patients. </w:t>
      </w:r>
      <w:r w:rsidR="00783F45" w:rsidRPr="00A975EF">
        <w:rPr>
          <w:noProof/>
          <w:sz w:val="24"/>
          <w:szCs w:val="28"/>
        </w:rPr>
        <w:t xml:space="preserve">With knowledge of drug-drug interactions, prescription drug monitoring program </w:t>
      </w:r>
      <w:r w:rsidR="00835EA7" w:rsidRPr="00A975EF">
        <w:rPr>
          <w:noProof/>
          <w:sz w:val="24"/>
          <w:szCs w:val="28"/>
        </w:rPr>
        <w:t xml:space="preserve">access, and </w:t>
      </w:r>
      <w:r w:rsidR="002A7F6D" w:rsidRPr="00A975EF">
        <w:rPr>
          <w:noProof/>
          <w:sz w:val="24"/>
          <w:szCs w:val="28"/>
        </w:rPr>
        <w:t xml:space="preserve">proper transitioning between opioids, pharmacists can be an invaluable asset </w:t>
      </w:r>
      <w:r w:rsidR="00C80F8A" w:rsidRPr="00A975EF">
        <w:rPr>
          <w:noProof/>
          <w:sz w:val="24"/>
          <w:szCs w:val="28"/>
        </w:rPr>
        <w:t xml:space="preserve">to help prevent </w:t>
      </w:r>
      <w:r w:rsidR="003103F6" w:rsidRPr="00A975EF">
        <w:rPr>
          <w:noProof/>
          <w:sz w:val="24"/>
          <w:szCs w:val="28"/>
        </w:rPr>
        <w:t>patients from unnecessarily being in a situation where providers feel that naloxone administration is necessary.</w:t>
      </w:r>
    </w:p>
    <w:p w14:paraId="233B0ABB" w14:textId="426D7470" w:rsidR="007003FD" w:rsidRPr="00A975EF" w:rsidRDefault="00E36288" w:rsidP="00B94406">
      <w:pPr>
        <w:spacing w:before="200" w:after="120"/>
        <w:rPr>
          <w:rFonts w:ascii="Times New Roman" w:hAnsi="Times New Roman"/>
          <w:b/>
          <w:i/>
          <w:iCs/>
          <w:sz w:val="24"/>
          <w:szCs w:val="20"/>
        </w:rPr>
      </w:pPr>
      <w:r w:rsidRPr="00A975EF">
        <w:rPr>
          <w:rFonts w:ascii="Times New Roman" w:hAnsi="Times New Roman"/>
          <w:b/>
          <w:i/>
          <w:iCs/>
          <w:sz w:val="24"/>
          <w:szCs w:val="20"/>
        </w:rPr>
        <w:t>4.1 Limitations</w:t>
      </w:r>
    </w:p>
    <w:p w14:paraId="05EEEE1A" w14:textId="1C21E2A2" w:rsidR="008700AA" w:rsidRPr="00A975EF" w:rsidRDefault="00667054" w:rsidP="00B57590">
      <w:pPr>
        <w:spacing w:before="200" w:after="120"/>
        <w:ind w:firstLine="230"/>
        <w:jc w:val="both"/>
        <w:rPr>
          <w:rFonts w:ascii="Times New Roman" w:hAnsi="Times New Roman"/>
          <w:bCs/>
          <w:sz w:val="24"/>
          <w:szCs w:val="20"/>
        </w:rPr>
      </w:pPr>
      <w:r w:rsidRPr="00A975EF">
        <w:rPr>
          <w:rFonts w:ascii="Times New Roman" w:hAnsi="Times New Roman"/>
          <w:bCs/>
          <w:sz w:val="24"/>
          <w:szCs w:val="20"/>
        </w:rPr>
        <w:t>T</w:t>
      </w:r>
      <w:r w:rsidR="00EE7B24" w:rsidRPr="00A975EF">
        <w:rPr>
          <w:rFonts w:ascii="Times New Roman" w:hAnsi="Times New Roman"/>
          <w:bCs/>
          <w:sz w:val="24"/>
          <w:szCs w:val="20"/>
        </w:rPr>
        <w:t xml:space="preserve">he main limitation of this study is </w:t>
      </w:r>
      <w:r w:rsidR="009148F9" w:rsidRPr="00A975EF">
        <w:rPr>
          <w:rFonts w:ascii="Times New Roman" w:hAnsi="Times New Roman"/>
          <w:bCs/>
          <w:sz w:val="24"/>
          <w:szCs w:val="20"/>
        </w:rPr>
        <w:t>its</w:t>
      </w:r>
      <w:r w:rsidR="00725D44" w:rsidRPr="00A975EF">
        <w:rPr>
          <w:rFonts w:ascii="Times New Roman" w:hAnsi="Times New Roman"/>
          <w:bCs/>
          <w:sz w:val="24"/>
          <w:szCs w:val="20"/>
        </w:rPr>
        <w:t xml:space="preserve"> retrospective nature. </w:t>
      </w:r>
      <w:r w:rsidR="009148F9" w:rsidRPr="00A975EF">
        <w:rPr>
          <w:rFonts w:ascii="Times New Roman" w:hAnsi="Times New Roman"/>
          <w:bCs/>
          <w:sz w:val="24"/>
          <w:szCs w:val="20"/>
        </w:rPr>
        <w:t xml:space="preserve">It relies </w:t>
      </w:r>
      <w:r w:rsidR="00AC6102" w:rsidRPr="00A975EF">
        <w:rPr>
          <w:rFonts w:ascii="Times New Roman" w:hAnsi="Times New Roman"/>
          <w:bCs/>
          <w:sz w:val="24"/>
          <w:szCs w:val="20"/>
        </w:rPr>
        <w:t xml:space="preserve">heavily on accurate documentation </w:t>
      </w:r>
      <w:r w:rsidR="00FF2D12" w:rsidRPr="00A975EF">
        <w:rPr>
          <w:rFonts w:ascii="Times New Roman" w:hAnsi="Times New Roman"/>
          <w:bCs/>
          <w:sz w:val="24"/>
          <w:szCs w:val="20"/>
        </w:rPr>
        <w:t xml:space="preserve">in the EMR and </w:t>
      </w:r>
      <w:r w:rsidR="003F6913" w:rsidRPr="00A975EF">
        <w:rPr>
          <w:rFonts w:ascii="Times New Roman" w:hAnsi="Times New Roman"/>
          <w:bCs/>
          <w:sz w:val="24"/>
          <w:szCs w:val="20"/>
        </w:rPr>
        <w:t xml:space="preserve">proper coding of diagnoses. </w:t>
      </w:r>
      <w:r w:rsidR="00155B02" w:rsidRPr="00A975EF">
        <w:rPr>
          <w:rFonts w:ascii="Times New Roman" w:hAnsi="Times New Roman"/>
          <w:bCs/>
          <w:sz w:val="24"/>
          <w:szCs w:val="20"/>
        </w:rPr>
        <w:t>The sample size of this study was small</w:t>
      </w:r>
      <w:r w:rsidR="004A0458" w:rsidRPr="00A975EF">
        <w:rPr>
          <w:rFonts w:ascii="Times New Roman" w:hAnsi="Times New Roman"/>
          <w:bCs/>
          <w:sz w:val="24"/>
          <w:szCs w:val="20"/>
        </w:rPr>
        <w:t xml:space="preserve"> and only took place at one institution</w:t>
      </w:r>
      <w:r w:rsidR="00155B02" w:rsidRPr="00A975EF">
        <w:rPr>
          <w:rFonts w:ascii="Times New Roman" w:hAnsi="Times New Roman"/>
          <w:bCs/>
          <w:sz w:val="24"/>
          <w:szCs w:val="20"/>
        </w:rPr>
        <w:t xml:space="preserve"> which limits it</w:t>
      </w:r>
      <w:r w:rsidR="00705E22" w:rsidRPr="00A975EF">
        <w:rPr>
          <w:rFonts w:ascii="Times New Roman" w:hAnsi="Times New Roman"/>
          <w:bCs/>
          <w:sz w:val="24"/>
          <w:szCs w:val="20"/>
        </w:rPr>
        <w:t>s generalizability and</w:t>
      </w:r>
      <w:r w:rsidR="003A122B" w:rsidRPr="00A975EF">
        <w:rPr>
          <w:rFonts w:ascii="Times New Roman" w:hAnsi="Times New Roman"/>
          <w:bCs/>
          <w:sz w:val="24"/>
          <w:szCs w:val="20"/>
        </w:rPr>
        <w:t xml:space="preserve"> the</w:t>
      </w:r>
      <w:r w:rsidR="00705E22" w:rsidRPr="00A975EF">
        <w:rPr>
          <w:rFonts w:ascii="Times New Roman" w:hAnsi="Times New Roman"/>
          <w:bCs/>
          <w:sz w:val="24"/>
          <w:szCs w:val="20"/>
        </w:rPr>
        <w:t xml:space="preserve"> statistical analys</w:t>
      </w:r>
      <w:r w:rsidR="003A122B" w:rsidRPr="00A975EF">
        <w:rPr>
          <w:rFonts w:ascii="Times New Roman" w:hAnsi="Times New Roman"/>
          <w:bCs/>
          <w:sz w:val="24"/>
          <w:szCs w:val="20"/>
        </w:rPr>
        <w:t>e</w:t>
      </w:r>
      <w:r w:rsidR="00705E22" w:rsidRPr="00A975EF">
        <w:rPr>
          <w:rFonts w:ascii="Times New Roman" w:hAnsi="Times New Roman"/>
          <w:bCs/>
          <w:sz w:val="24"/>
          <w:szCs w:val="20"/>
        </w:rPr>
        <w:t>s that could have been performed.</w:t>
      </w:r>
      <w:r w:rsidR="004A0458" w:rsidRPr="00A975EF">
        <w:rPr>
          <w:rFonts w:ascii="Times New Roman" w:hAnsi="Times New Roman"/>
          <w:bCs/>
          <w:sz w:val="24"/>
          <w:szCs w:val="20"/>
        </w:rPr>
        <w:t xml:space="preserve"> However, the results mostly align with previous studies </w:t>
      </w:r>
      <w:r w:rsidR="004D27D2" w:rsidRPr="00A975EF">
        <w:rPr>
          <w:rFonts w:ascii="Times New Roman" w:hAnsi="Times New Roman"/>
          <w:bCs/>
          <w:sz w:val="24"/>
          <w:szCs w:val="20"/>
        </w:rPr>
        <w:t>which helps its validity.</w:t>
      </w:r>
      <w:r w:rsidR="00705E22" w:rsidRPr="00A975EF">
        <w:rPr>
          <w:rFonts w:ascii="Times New Roman" w:hAnsi="Times New Roman"/>
          <w:bCs/>
          <w:sz w:val="24"/>
          <w:szCs w:val="20"/>
        </w:rPr>
        <w:t xml:space="preserve"> </w:t>
      </w:r>
      <w:r w:rsidR="0081055A" w:rsidRPr="00A975EF">
        <w:rPr>
          <w:rFonts w:ascii="Times New Roman" w:hAnsi="Times New Roman"/>
          <w:bCs/>
          <w:sz w:val="24"/>
          <w:szCs w:val="20"/>
        </w:rPr>
        <w:t xml:space="preserve">Not controlling for the concurrent use of other CNS depressants also represents a </w:t>
      </w:r>
      <w:r w:rsidR="00AC40A3" w:rsidRPr="00A975EF">
        <w:rPr>
          <w:rFonts w:ascii="Times New Roman" w:hAnsi="Times New Roman"/>
          <w:bCs/>
          <w:sz w:val="24"/>
          <w:szCs w:val="20"/>
        </w:rPr>
        <w:t xml:space="preserve">significant confounding variable. </w:t>
      </w:r>
    </w:p>
    <w:p w14:paraId="6A9C645F" w14:textId="44479BB7" w:rsidR="00590F56" w:rsidRPr="00A975EF" w:rsidRDefault="00837792" w:rsidP="00712762">
      <w:pPr>
        <w:spacing w:before="200" w:after="120"/>
        <w:rPr>
          <w:rFonts w:ascii="Times New Roman" w:hAnsi="Times New Roman"/>
          <w:b/>
          <w:sz w:val="28"/>
        </w:rPr>
      </w:pPr>
      <w:r w:rsidRPr="00A975EF">
        <w:rPr>
          <w:rFonts w:ascii="Times New Roman" w:hAnsi="Times New Roman"/>
          <w:noProof/>
          <w:lang w:val="en-US"/>
        </w:rPr>
        <w:drawing>
          <wp:anchor distT="0" distB="0" distL="114300" distR="114300" simplePos="0" relativeHeight="251663360" behindDoc="1" locked="0" layoutInCell="1" allowOverlap="1" wp14:anchorId="7697B5F6" wp14:editId="5A811A0D">
            <wp:simplePos x="0" y="0"/>
            <wp:positionH relativeFrom="column">
              <wp:posOffset>-3592195</wp:posOffset>
            </wp:positionH>
            <wp:positionV relativeFrom="paragraph">
              <wp:posOffset>1619885</wp:posOffset>
            </wp:positionV>
            <wp:extent cx="4269105" cy="723900"/>
            <wp:effectExtent l="0" t="0" r="0" b="0"/>
            <wp:wrapTight wrapText="bothSides">
              <wp:wrapPolygon edited="0">
                <wp:start x="0" y="0"/>
                <wp:lineTo x="0" y="21032"/>
                <wp:lineTo x="21494" y="21032"/>
                <wp:lineTo x="21494" y="0"/>
                <wp:lineTo x="0" y="0"/>
              </wp:wrapPolygon>
            </wp:wrapTight>
            <wp:docPr id="13" name="Picture 13" descr="Tab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bl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69105" cy="723900"/>
                    </a:xfrm>
                    <a:prstGeom prst="rect">
                      <a:avLst/>
                    </a:prstGeom>
                    <a:noFill/>
                  </pic:spPr>
                </pic:pic>
              </a:graphicData>
            </a:graphic>
            <wp14:sizeRelH relativeFrom="page">
              <wp14:pctWidth>0</wp14:pctWidth>
            </wp14:sizeRelH>
            <wp14:sizeRelV relativeFrom="page">
              <wp14:pctHeight>0</wp14:pctHeight>
            </wp14:sizeRelV>
          </wp:anchor>
        </w:drawing>
      </w:r>
      <w:r w:rsidR="00286C55" w:rsidRPr="00A975EF">
        <w:rPr>
          <w:rFonts w:ascii="Times New Roman" w:hAnsi="Times New Roman"/>
          <w:b/>
          <w:sz w:val="28"/>
        </w:rPr>
        <w:t>5</w:t>
      </w:r>
      <w:r w:rsidR="00590F56" w:rsidRPr="00A975EF">
        <w:rPr>
          <w:rFonts w:ascii="Times New Roman" w:hAnsi="Times New Roman"/>
          <w:b/>
          <w:sz w:val="28"/>
        </w:rPr>
        <w:t xml:space="preserve">. </w:t>
      </w:r>
      <w:r w:rsidR="00286C55" w:rsidRPr="00A975EF">
        <w:rPr>
          <w:rFonts w:ascii="Times New Roman" w:hAnsi="Times New Roman"/>
          <w:b/>
          <w:sz w:val="28"/>
        </w:rPr>
        <w:t>Conclusion</w:t>
      </w:r>
    </w:p>
    <w:p w14:paraId="5549EC1C" w14:textId="566636B5" w:rsidR="001415B6" w:rsidRPr="00A975EF" w:rsidRDefault="004D27D2" w:rsidP="006524DB">
      <w:pPr>
        <w:pStyle w:val="IOPAbsText"/>
        <w:ind w:right="14" w:firstLine="230"/>
        <w:jc w:val="both"/>
        <w:rPr>
          <w:noProof/>
          <w:sz w:val="24"/>
          <w:szCs w:val="28"/>
        </w:rPr>
      </w:pPr>
      <w:r w:rsidRPr="00A975EF">
        <w:rPr>
          <w:noProof/>
          <w:sz w:val="24"/>
          <w:szCs w:val="28"/>
        </w:rPr>
        <w:t>This study found that p</w:t>
      </w:r>
      <w:r w:rsidR="00CD514B" w:rsidRPr="00A975EF">
        <w:rPr>
          <w:noProof/>
          <w:sz w:val="24"/>
          <w:szCs w:val="28"/>
        </w:rPr>
        <w:t>atients who are 65 years or older, have heart failure, and/or renal impairment are at higher risk to receive naloxone after administration of an opioid</w:t>
      </w:r>
      <w:r w:rsidR="00A51F72" w:rsidRPr="00A975EF">
        <w:rPr>
          <w:noProof/>
          <w:sz w:val="24"/>
          <w:szCs w:val="28"/>
        </w:rPr>
        <w:t xml:space="preserve"> at this institution</w:t>
      </w:r>
      <w:r w:rsidR="00CD514B" w:rsidRPr="00A975EF">
        <w:rPr>
          <w:noProof/>
          <w:sz w:val="24"/>
          <w:szCs w:val="28"/>
        </w:rPr>
        <w:t>. Further research is needed to see if there is a difference in naloxone use depending on opioid route of administration.</w:t>
      </w:r>
    </w:p>
    <w:p w14:paraId="0CEB2B36" w14:textId="27845789" w:rsidR="00B35DEC" w:rsidRPr="00A975EF" w:rsidRDefault="00B35DEC" w:rsidP="006228A2">
      <w:pPr>
        <w:pStyle w:val="IOPH1"/>
        <w:rPr>
          <w:rFonts w:ascii="Times New Roman" w:hAnsi="Times New Roman"/>
          <w:noProof/>
          <w:sz w:val="28"/>
          <w:szCs w:val="22"/>
        </w:rPr>
      </w:pPr>
      <w:r w:rsidRPr="00A975EF">
        <w:rPr>
          <w:rFonts w:ascii="Times New Roman" w:hAnsi="Times New Roman"/>
          <w:noProof/>
          <w:sz w:val="28"/>
          <w:szCs w:val="22"/>
        </w:rPr>
        <w:t>Conflicts of Interest</w:t>
      </w:r>
    </w:p>
    <w:p w14:paraId="0FBFB9CA" w14:textId="2140D8EE" w:rsidR="00B35DEC" w:rsidRPr="00A975EF" w:rsidRDefault="00B55436" w:rsidP="001C4341">
      <w:pPr>
        <w:pStyle w:val="IOPText"/>
        <w:ind w:firstLine="230"/>
        <w:rPr>
          <w:noProof/>
          <w:sz w:val="24"/>
          <w:szCs w:val="28"/>
        </w:rPr>
      </w:pPr>
      <w:r w:rsidRPr="00A975EF">
        <w:rPr>
          <w:noProof/>
          <w:sz w:val="24"/>
          <w:szCs w:val="28"/>
        </w:rPr>
        <w:t>The author declares that he has no conflicts of interest</w:t>
      </w:r>
      <w:r w:rsidR="00FF7A03" w:rsidRPr="00A975EF">
        <w:rPr>
          <w:noProof/>
          <w:sz w:val="24"/>
          <w:szCs w:val="28"/>
        </w:rPr>
        <w:t>.</w:t>
      </w:r>
    </w:p>
    <w:p w14:paraId="19D6F9FE" w14:textId="78B1E5E8" w:rsidR="006228A2" w:rsidRPr="00A975EF" w:rsidRDefault="006228A2" w:rsidP="006228A2">
      <w:pPr>
        <w:pStyle w:val="IOPH1"/>
        <w:rPr>
          <w:rFonts w:ascii="Times New Roman" w:hAnsi="Times New Roman"/>
          <w:noProof/>
          <w:sz w:val="28"/>
          <w:szCs w:val="22"/>
        </w:rPr>
      </w:pPr>
      <w:r w:rsidRPr="00A975EF">
        <w:rPr>
          <w:rFonts w:ascii="Times New Roman" w:hAnsi="Times New Roman"/>
          <w:noProof/>
          <w:sz w:val="28"/>
          <w:szCs w:val="22"/>
        </w:rPr>
        <w:t>Acknowledgements</w:t>
      </w:r>
    </w:p>
    <w:p w14:paraId="67414F9A" w14:textId="4F4C936D" w:rsidR="0055274C" w:rsidRPr="00A975EF" w:rsidRDefault="00F32AB5" w:rsidP="001C4341">
      <w:pPr>
        <w:pStyle w:val="IOPText"/>
        <w:ind w:firstLine="230"/>
        <w:rPr>
          <w:noProof/>
          <w:sz w:val="24"/>
          <w:szCs w:val="28"/>
        </w:rPr>
      </w:pPr>
      <w:r w:rsidRPr="00A975EF">
        <w:rPr>
          <w:noProof/>
          <w:sz w:val="24"/>
          <w:szCs w:val="28"/>
        </w:rPr>
        <w:t>The author would like to give a special thanks to</w:t>
      </w:r>
      <w:r w:rsidR="00C70758" w:rsidRPr="00A975EF">
        <w:rPr>
          <w:noProof/>
          <w:sz w:val="24"/>
          <w:szCs w:val="28"/>
        </w:rPr>
        <w:t xml:space="preserve"> </w:t>
      </w:r>
      <w:r w:rsidR="005C5AFD">
        <w:rPr>
          <w:noProof/>
          <w:sz w:val="24"/>
          <w:szCs w:val="28"/>
        </w:rPr>
        <w:t>Pills McAdams</w:t>
      </w:r>
      <w:r w:rsidR="00763639" w:rsidRPr="00A975EF">
        <w:rPr>
          <w:noProof/>
          <w:sz w:val="24"/>
          <w:szCs w:val="28"/>
        </w:rPr>
        <w:t>, Pharm</w:t>
      </w:r>
      <w:r w:rsidR="00A975EF">
        <w:rPr>
          <w:noProof/>
          <w:sz w:val="24"/>
          <w:szCs w:val="28"/>
        </w:rPr>
        <w:t>D</w:t>
      </w:r>
      <w:r w:rsidR="00763639" w:rsidRPr="00A975EF">
        <w:rPr>
          <w:noProof/>
          <w:sz w:val="24"/>
          <w:szCs w:val="28"/>
        </w:rPr>
        <w:t>, BCPS</w:t>
      </w:r>
      <w:r w:rsidR="00A975EF">
        <w:rPr>
          <w:noProof/>
          <w:sz w:val="24"/>
          <w:szCs w:val="28"/>
        </w:rPr>
        <w:t xml:space="preserve"> and </w:t>
      </w:r>
      <w:r w:rsidR="005C5AFD">
        <w:rPr>
          <w:noProof/>
          <w:sz w:val="24"/>
          <w:szCs w:val="28"/>
        </w:rPr>
        <w:t>Bill Researcher</w:t>
      </w:r>
      <w:r w:rsidR="00A975EF">
        <w:rPr>
          <w:noProof/>
          <w:sz w:val="24"/>
          <w:szCs w:val="28"/>
        </w:rPr>
        <w:t>, PharmD</w:t>
      </w:r>
      <w:r w:rsidR="001C4341" w:rsidRPr="00A975EF">
        <w:rPr>
          <w:noProof/>
          <w:sz w:val="24"/>
          <w:szCs w:val="28"/>
        </w:rPr>
        <w:t>, BCPS, BCCCP</w:t>
      </w:r>
      <w:r w:rsidRPr="00A975EF">
        <w:rPr>
          <w:noProof/>
          <w:sz w:val="24"/>
          <w:szCs w:val="28"/>
        </w:rPr>
        <w:t xml:space="preserve"> for their assistance and advice on this project.</w:t>
      </w:r>
      <w:r w:rsidR="001C4341" w:rsidRPr="00A975EF">
        <w:rPr>
          <w:noProof/>
          <w:sz w:val="24"/>
          <w:szCs w:val="28"/>
        </w:rPr>
        <w:t xml:space="preserve"> </w:t>
      </w:r>
    </w:p>
    <w:p w14:paraId="4F97A7FA" w14:textId="78DB4461" w:rsidR="006228A2" w:rsidRPr="00A975EF" w:rsidRDefault="006228A2" w:rsidP="006228A2">
      <w:pPr>
        <w:pStyle w:val="IOPH1"/>
        <w:rPr>
          <w:rFonts w:ascii="Times New Roman" w:hAnsi="Times New Roman"/>
          <w:noProof/>
          <w:sz w:val="28"/>
          <w:szCs w:val="22"/>
        </w:rPr>
      </w:pPr>
      <w:r w:rsidRPr="00A975EF">
        <w:rPr>
          <w:rFonts w:ascii="Times New Roman" w:hAnsi="Times New Roman"/>
          <w:noProof/>
          <w:sz w:val="28"/>
          <w:szCs w:val="22"/>
        </w:rPr>
        <w:t>References</w:t>
      </w:r>
    </w:p>
    <w:p w14:paraId="74B1D4E3" w14:textId="3930A6E0" w:rsidR="00543282" w:rsidRPr="00A975EF" w:rsidRDefault="00543282" w:rsidP="00543282">
      <w:pPr>
        <w:pStyle w:val="IOPRefs"/>
        <w:rPr>
          <w:sz w:val="24"/>
          <w:szCs w:val="32"/>
          <w:lang w:val="en-US"/>
        </w:rPr>
      </w:pPr>
      <w:r w:rsidRPr="00A975EF">
        <w:rPr>
          <w:sz w:val="24"/>
          <w:szCs w:val="32"/>
          <w:lang w:val="en-US"/>
        </w:rPr>
        <w:t xml:space="preserve">Herzig SJ, </w:t>
      </w:r>
      <w:r w:rsidR="000A206D" w:rsidRPr="00A975EF">
        <w:rPr>
          <w:sz w:val="24"/>
          <w:szCs w:val="32"/>
          <w:lang w:val="en-US"/>
        </w:rPr>
        <w:t>Rothberg MB, Cheung M, Ngo LH, and Maracantonio</w:t>
      </w:r>
      <w:r w:rsidR="00711678" w:rsidRPr="00A975EF">
        <w:rPr>
          <w:sz w:val="24"/>
          <w:szCs w:val="32"/>
          <w:lang w:val="en-US"/>
        </w:rPr>
        <w:t xml:space="preserve"> ER</w:t>
      </w:r>
      <w:r w:rsidRPr="00A975EF">
        <w:rPr>
          <w:sz w:val="24"/>
          <w:szCs w:val="32"/>
          <w:lang w:val="en-US"/>
        </w:rPr>
        <w:t xml:space="preserve">. Opioid utilization and opioid-related adverse events in nonsurgical patients in US hospitals. </w:t>
      </w:r>
      <w:r w:rsidRPr="00A975EF">
        <w:rPr>
          <w:i/>
          <w:iCs/>
          <w:sz w:val="24"/>
          <w:szCs w:val="32"/>
          <w:lang w:val="en-US"/>
        </w:rPr>
        <w:t>J Hosp Med</w:t>
      </w:r>
      <w:r w:rsidRPr="00A975EF">
        <w:rPr>
          <w:sz w:val="24"/>
          <w:szCs w:val="32"/>
          <w:lang w:val="en-US"/>
        </w:rPr>
        <w:t>. 2014 Feb;9(2):73-81</w:t>
      </w:r>
    </w:p>
    <w:p w14:paraId="41733006" w14:textId="6F50A991" w:rsidR="004B76CF" w:rsidRPr="00A975EF" w:rsidRDefault="004B76CF" w:rsidP="004B76CF">
      <w:pPr>
        <w:pStyle w:val="IOPRefs"/>
        <w:rPr>
          <w:sz w:val="24"/>
          <w:szCs w:val="32"/>
          <w:lang w:val="en-US"/>
        </w:rPr>
      </w:pPr>
      <w:r w:rsidRPr="00A975EF">
        <w:rPr>
          <w:sz w:val="24"/>
          <w:szCs w:val="32"/>
          <w:lang w:val="en-US"/>
        </w:rPr>
        <w:t>Farkas A,</w:t>
      </w:r>
      <w:r w:rsidR="00711678" w:rsidRPr="00A975EF">
        <w:rPr>
          <w:sz w:val="24"/>
          <w:szCs w:val="32"/>
          <w:lang w:val="en-US"/>
        </w:rPr>
        <w:t xml:space="preserve"> Lynch MJ, Westover R,</w:t>
      </w:r>
      <w:r w:rsidRPr="00A975EF">
        <w:rPr>
          <w:sz w:val="24"/>
          <w:szCs w:val="32"/>
          <w:lang w:val="en-US"/>
        </w:rPr>
        <w:t xml:space="preserve"> et al. Pulmonary complications of opioid overdose treated with naloxone. </w:t>
      </w:r>
      <w:r w:rsidRPr="00A975EF">
        <w:rPr>
          <w:i/>
          <w:iCs/>
          <w:sz w:val="24"/>
          <w:szCs w:val="32"/>
          <w:lang w:val="en-US"/>
        </w:rPr>
        <w:t>Ann Emerg Med</w:t>
      </w:r>
      <w:r w:rsidRPr="00A975EF">
        <w:rPr>
          <w:sz w:val="24"/>
          <w:szCs w:val="32"/>
          <w:lang w:val="en-US"/>
        </w:rPr>
        <w:t>. 2020 Jan;75(1):39-48</w:t>
      </w:r>
    </w:p>
    <w:p w14:paraId="6DEC21B0" w14:textId="1940DB53" w:rsidR="004B76CF" w:rsidRPr="00A975EF" w:rsidRDefault="004B76CF" w:rsidP="004B76CF">
      <w:pPr>
        <w:pStyle w:val="IOPRefs"/>
        <w:rPr>
          <w:sz w:val="24"/>
          <w:szCs w:val="32"/>
          <w:lang w:val="en-US"/>
        </w:rPr>
      </w:pPr>
      <w:r w:rsidRPr="00A975EF">
        <w:rPr>
          <w:sz w:val="24"/>
          <w:szCs w:val="32"/>
          <w:lang w:val="en-US"/>
        </w:rPr>
        <w:t>Vu Q,</w:t>
      </w:r>
      <w:r w:rsidR="00D1479D" w:rsidRPr="00A975EF">
        <w:rPr>
          <w:sz w:val="24"/>
          <w:szCs w:val="32"/>
          <w:lang w:val="en-US"/>
        </w:rPr>
        <w:t xml:space="preserve"> B</w:t>
      </w:r>
      <w:r w:rsidR="005C7D3E" w:rsidRPr="00A975EF">
        <w:rPr>
          <w:sz w:val="24"/>
          <w:szCs w:val="32"/>
          <w:lang w:val="en-US"/>
        </w:rPr>
        <w:t>eselman A, Monolakis J, Wang A, and Rastegar D</w:t>
      </w:r>
      <w:r w:rsidRPr="00A975EF">
        <w:rPr>
          <w:sz w:val="24"/>
          <w:szCs w:val="32"/>
          <w:lang w:val="en-US"/>
        </w:rPr>
        <w:t xml:space="preserve">. Risk factors for opioid overdose among hospitalized patients. </w:t>
      </w:r>
      <w:r w:rsidRPr="00A975EF">
        <w:rPr>
          <w:i/>
          <w:iCs/>
          <w:sz w:val="24"/>
          <w:szCs w:val="32"/>
          <w:lang w:val="en-US"/>
        </w:rPr>
        <w:t xml:space="preserve">J Clin Pharm Ther. </w:t>
      </w:r>
      <w:r w:rsidRPr="00A975EF">
        <w:rPr>
          <w:sz w:val="24"/>
          <w:szCs w:val="32"/>
          <w:lang w:val="en-US"/>
        </w:rPr>
        <w:t xml:space="preserve">2018 Dec;43(6):784-9. </w:t>
      </w:r>
    </w:p>
    <w:p w14:paraId="5893BEDB" w14:textId="6BBB842F" w:rsidR="008A35E2" w:rsidRPr="00A975EF" w:rsidRDefault="008A35E2" w:rsidP="008A35E2">
      <w:pPr>
        <w:pStyle w:val="IOPRefs"/>
        <w:rPr>
          <w:sz w:val="24"/>
          <w:szCs w:val="32"/>
          <w:lang w:val="en-US"/>
        </w:rPr>
      </w:pPr>
      <w:r w:rsidRPr="00A975EF">
        <w:rPr>
          <w:sz w:val="24"/>
          <w:szCs w:val="32"/>
          <w:lang w:val="en-US"/>
        </w:rPr>
        <w:t xml:space="preserve">Yung L, </w:t>
      </w:r>
      <w:r w:rsidR="00EB3F7F" w:rsidRPr="00A975EF">
        <w:rPr>
          <w:sz w:val="24"/>
          <w:szCs w:val="32"/>
          <w:lang w:val="en-US"/>
        </w:rPr>
        <w:t>Lee KC, Hsu C, Furnish T, and Atayee RS.</w:t>
      </w:r>
      <w:r w:rsidRPr="00A975EF">
        <w:rPr>
          <w:sz w:val="24"/>
          <w:szCs w:val="32"/>
          <w:lang w:val="en-US"/>
        </w:rPr>
        <w:t xml:space="preserve"> Patterns of naloxone use in hospitalized patients. </w:t>
      </w:r>
      <w:r w:rsidRPr="00A975EF">
        <w:rPr>
          <w:i/>
          <w:iCs/>
          <w:sz w:val="24"/>
          <w:szCs w:val="32"/>
          <w:lang w:val="en-US"/>
        </w:rPr>
        <w:t>Postgrad Med</w:t>
      </w:r>
      <w:r w:rsidRPr="00A975EF">
        <w:rPr>
          <w:sz w:val="24"/>
          <w:szCs w:val="32"/>
          <w:lang w:val="en-US"/>
        </w:rPr>
        <w:t xml:space="preserve">. 2017 Jan;129(1):40-5 </w:t>
      </w:r>
    </w:p>
    <w:p w14:paraId="08097AFF" w14:textId="2668943F" w:rsidR="00A21CD3" w:rsidRPr="00D719B6" w:rsidRDefault="00A21CD3" w:rsidP="005F1A3D">
      <w:pPr>
        <w:pStyle w:val="IOPRefs"/>
        <w:numPr>
          <w:ilvl w:val="0"/>
          <w:numId w:val="0"/>
        </w:numPr>
        <w:rPr>
          <w:rFonts w:asciiTheme="minorHAnsi" w:hAnsiTheme="minorHAnsi" w:cstheme="minorHAnsi"/>
        </w:rPr>
      </w:pPr>
    </w:p>
    <w:p w14:paraId="611E57AE" w14:textId="3DB233C4" w:rsidR="005B5D1B" w:rsidRPr="00D719B6" w:rsidRDefault="005B5D1B" w:rsidP="005F1A3D">
      <w:pPr>
        <w:pStyle w:val="IOPRefs"/>
        <w:numPr>
          <w:ilvl w:val="0"/>
          <w:numId w:val="0"/>
        </w:numPr>
        <w:rPr>
          <w:rFonts w:asciiTheme="minorHAnsi" w:hAnsiTheme="minorHAnsi" w:cstheme="minorHAnsi"/>
        </w:rPr>
      </w:pPr>
    </w:p>
    <w:p w14:paraId="69CA7FA1" w14:textId="2F052271" w:rsidR="005B5D1B" w:rsidRPr="00D719B6" w:rsidRDefault="005B5D1B" w:rsidP="005F1A3D">
      <w:pPr>
        <w:pStyle w:val="IOPRefs"/>
        <w:numPr>
          <w:ilvl w:val="0"/>
          <w:numId w:val="0"/>
        </w:numPr>
        <w:rPr>
          <w:rFonts w:asciiTheme="minorHAnsi" w:hAnsiTheme="minorHAnsi" w:cstheme="minorHAnsi"/>
        </w:rPr>
      </w:pPr>
    </w:p>
    <w:p w14:paraId="49C48EB1" w14:textId="7CFEF703" w:rsidR="006B0A1E" w:rsidRPr="00D719B6" w:rsidRDefault="006B0A1E" w:rsidP="005F1A3D">
      <w:pPr>
        <w:pStyle w:val="IOPRefs"/>
        <w:numPr>
          <w:ilvl w:val="0"/>
          <w:numId w:val="0"/>
        </w:numPr>
        <w:rPr>
          <w:rFonts w:asciiTheme="minorHAnsi" w:hAnsiTheme="minorHAnsi" w:cstheme="minorHAnsi"/>
        </w:rPr>
      </w:pPr>
    </w:p>
    <w:p w14:paraId="6EC03538" w14:textId="77777777" w:rsidR="005223F4" w:rsidRPr="00D719B6" w:rsidRDefault="005223F4" w:rsidP="006228A2">
      <w:pPr>
        <w:pStyle w:val="IOPText"/>
        <w:ind w:firstLine="0"/>
        <w:rPr>
          <w:rFonts w:asciiTheme="minorHAnsi" w:hAnsiTheme="minorHAnsi" w:cstheme="minorHAnsi"/>
          <w:noProof/>
        </w:rPr>
      </w:pPr>
    </w:p>
    <w:sectPr w:rsidR="005223F4" w:rsidRPr="00D719B6" w:rsidSect="009602A7">
      <w:headerReference w:type="default" r:id="rId17"/>
      <w:footerReference w:type="default" r:id="rId18"/>
      <w:type w:val="continuous"/>
      <w:pgSz w:w="11906" w:h="16838" w:code="9"/>
      <w:pgMar w:top="1800" w:right="1008" w:bottom="1800" w:left="1008" w:header="720" w:footer="720"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6568B" w14:textId="77777777" w:rsidR="00E338C4" w:rsidRDefault="00E338C4" w:rsidP="00927301">
      <w:pPr>
        <w:spacing w:after="0" w:line="240" w:lineRule="auto"/>
      </w:pPr>
      <w:r>
        <w:separator/>
      </w:r>
    </w:p>
  </w:endnote>
  <w:endnote w:type="continuationSeparator" w:id="0">
    <w:p w14:paraId="5684D977" w14:textId="77777777" w:rsidR="00E338C4" w:rsidRDefault="00E338C4" w:rsidP="0092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67B2C" w14:textId="3F148D69" w:rsidR="009536C0" w:rsidRPr="004D1996" w:rsidRDefault="00717D41" w:rsidP="00717D41">
    <w:pPr>
      <w:pStyle w:val="Footer"/>
      <w:tabs>
        <w:tab w:val="clear" w:pos="4513"/>
        <w:tab w:val="clear" w:pos="9026"/>
        <w:tab w:val="center" w:pos="5046"/>
        <w:tab w:val="right" w:pos="10092"/>
      </w:tabs>
      <w:rPr>
        <w:rFonts w:ascii="Times New Roman" w:hAnsi="Times New Roman"/>
        <w:sz w:val="16"/>
        <w:szCs w:val="16"/>
      </w:rPr>
    </w:pPr>
    <w:r w:rsidRPr="00A975EF">
      <w:rPr>
        <w:rFonts w:asciiTheme="minorHAnsi" w:hAnsiTheme="minorHAnsi" w:cstheme="minorHAnsi"/>
        <w:noProof/>
        <w:color w:val="4472C4" w:themeColor="accent1"/>
        <w:sz w:val="16"/>
        <w:szCs w:val="16"/>
        <w:lang w:val="en-US"/>
      </w:rPr>
      <mc:AlternateContent>
        <mc:Choice Requires="wps">
          <w:drawing>
            <wp:anchor distT="0" distB="0" distL="114300" distR="114300" simplePos="0" relativeHeight="251661312" behindDoc="0" locked="0" layoutInCell="1" allowOverlap="1" wp14:anchorId="7EC00AAC" wp14:editId="28665D73">
              <wp:simplePos x="0" y="0"/>
              <wp:positionH relativeFrom="page">
                <wp:align>center</wp:align>
              </wp:positionH>
              <wp:positionV relativeFrom="page">
                <wp:align>center</wp:align>
              </wp:positionV>
              <wp:extent cx="7364730" cy="9528810"/>
              <wp:effectExtent l="0" t="0" r="26670" b="26670"/>
              <wp:wrapNone/>
              <wp:docPr id="450" name="Rectangle 450"/>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4162E87" id="Rectangle 450"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5Apg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" filled="f" strokecolor="#747070 [1614]" strokeweight="1.25pt">
              <w10:wrap anchorx="page" anchory="page"/>
            </v:rect>
          </w:pict>
        </mc:Fallback>
      </mc:AlternateContent>
    </w:r>
    <w:r w:rsidR="004D1996" w:rsidRPr="009602A7">
      <w:rPr>
        <w:rFonts w:ascii="Times New Roman" w:hAnsi="Times New Roman"/>
        <w:b/>
        <w:noProof/>
        <w:color w:val="4472C4" w:themeColor="accent1"/>
        <w:sz w:val="20"/>
        <w:szCs w:val="16"/>
        <w:lang w:val="en-US"/>
      </w:rPr>
      <mc:AlternateContent>
        <mc:Choice Requires="wps">
          <w:drawing>
            <wp:anchor distT="0" distB="0" distL="114300" distR="114300" simplePos="0" relativeHeight="251663360" behindDoc="0" locked="0" layoutInCell="1" allowOverlap="1" wp14:anchorId="0BBB0B5D" wp14:editId="21AFA14A">
              <wp:simplePos x="0" y="0"/>
              <wp:positionH relativeFrom="page">
                <wp:align>center</wp:align>
              </wp:positionH>
              <wp:positionV relativeFrom="page">
                <wp:align>center</wp:align>
              </wp:positionV>
              <wp:extent cx="7364730" cy="9528810"/>
              <wp:effectExtent l="0" t="0" r="26670" b="26670"/>
              <wp:wrapNone/>
              <wp:docPr id="6" name="Rectangle 6"/>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D92D8B9" id="Rectangle 6" o:spid="_x0000_s1026" style="position:absolute;margin-left:0;margin-top:0;width:579.9pt;height:750.3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" filled="f" strokecolor="#747070 [1614]" strokeweight="1.25pt">
              <w10:wrap anchorx="page" anchory="page"/>
            </v:rect>
          </w:pict>
        </mc:Fallback>
      </mc:AlternateContent>
    </w:r>
    <w:r w:rsidR="004D1996" w:rsidRPr="009602A7">
      <w:rPr>
        <w:rFonts w:ascii="Times New Roman" w:hAnsi="Times New Roman"/>
        <w:b/>
        <w:sz w:val="20"/>
        <w:szCs w:val="16"/>
      </w:rPr>
      <w:t>Nevada Society of Health-Systems Pharmacy</w:t>
    </w:r>
    <w:r w:rsidR="004D1996" w:rsidRPr="009602A7">
      <w:rPr>
        <w:rFonts w:ascii="Times New Roman" w:hAnsi="Times New Roman"/>
        <w:sz w:val="20"/>
        <w:szCs w:val="16"/>
      </w:rPr>
      <w:t xml:space="preserve"> - Article Submitted to the Board of Directors Aug 17, 2021</w:t>
    </w:r>
    <w:r w:rsidR="004D1996" w:rsidRPr="009602A7">
      <w:rPr>
        <w:rFonts w:ascii="Times New Roman" w:hAnsi="Times New Roman"/>
        <w:sz w:val="20"/>
        <w:szCs w:val="16"/>
      </w:rPr>
      <w:ptab w:relativeTo="margin" w:alignment="right" w:leader="none"/>
    </w:r>
    <w:r w:rsidR="004D1996" w:rsidRPr="009602A7">
      <w:rPr>
        <w:rFonts w:ascii="Times New Roman" w:hAnsi="Times New Roman"/>
        <w:sz w:val="20"/>
        <w:szCs w:val="16"/>
      </w:rPr>
      <w:fldChar w:fldCharType="begin"/>
    </w:r>
    <w:r w:rsidR="004D1996" w:rsidRPr="009602A7">
      <w:rPr>
        <w:rFonts w:ascii="Times New Roman" w:hAnsi="Times New Roman"/>
        <w:sz w:val="20"/>
        <w:szCs w:val="16"/>
      </w:rPr>
      <w:instrText xml:space="preserve"> PAGE   \* MERGEFORMAT </w:instrText>
    </w:r>
    <w:r w:rsidR="004D1996" w:rsidRPr="009602A7">
      <w:rPr>
        <w:rFonts w:ascii="Times New Roman" w:hAnsi="Times New Roman"/>
        <w:sz w:val="20"/>
        <w:szCs w:val="16"/>
      </w:rPr>
      <w:fldChar w:fldCharType="separate"/>
    </w:r>
    <w:r w:rsidR="005C5AFD">
      <w:rPr>
        <w:rFonts w:ascii="Times New Roman" w:hAnsi="Times New Roman"/>
        <w:noProof/>
        <w:sz w:val="20"/>
        <w:szCs w:val="16"/>
      </w:rPr>
      <w:t>1</w:t>
    </w:r>
    <w:r w:rsidR="004D1996" w:rsidRPr="009602A7">
      <w:rPr>
        <w:rFonts w:ascii="Times New Roman" w:hAnsi="Times New Roman"/>
        <w:noProof/>
        <w:sz w:val="20"/>
        <w:szCs w:val="16"/>
      </w:rPr>
      <w:fldChar w:fldCharType="end"/>
    </w:r>
    <w:r w:rsidRPr="00A975EF">
      <w:rPr>
        <w:rFonts w:asciiTheme="minorHAnsi" w:hAnsiTheme="minorHAnsi" w:cstheme="minorHAnsi"/>
        <w:noProo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AFABC" w14:textId="4D4527F1" w:rsidR="00F14221" w:rsidRPr="009602A7" w:rsidRDefault="00F14221" w:rsidP="00F14221">
    <w:pPr>
      <w:pStyle w:val="Footer"/>
      <w:tabs>
        <w:tab w:val="clear" w:pos="4513"/>
        <w:tab w:val="clear" w:pos="9026"/>
        <w:tab w:val="center" w:pos="5046"/>
        <w:tab w:val="right" w:pos="10092"/>
      </w:tabs>
      <w:rPr>
        <w:rFonts w:ascii="Times New Roman" w:hAnsi="Times New Roman"/>
        <w:sz w:val="16"/>
        <w:szCs w:val="16"/>
      </w:rPr>
    </w:pPr>
    <w:r w:rsidRPr="009602A7">
      <w:rPr>
        <w:rFonts w:ascii="Times New Roman" w:hAnsi="Times New Roman"/>
        <w:b/>
        <w:noProof/>
        <w:color w:val="4472C4" w:themeColor="accent1"/>
        <w:sz w:val="20"/>
        <w:szCs w:val="16"/>
        <w:lang w:val="en-US"/>
      </w:rPr>
      <mc:AlternateContent>
        <mc:Choice Requires="wps">
          <w:drawing>
            <wp:anchor distT="0" distB="0" distL="114300" distR="114300" simplePos="0" relativeHeight="251659264" behindDoc="0" locked="0" layoutInCell="1" allowOverlap="1" wp14:anchorId="727523EC" wp14:editId="12F0133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89BFF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A975EF" w:rsidRPr="009602A7">
      <w:rPr>
        <w:rFonts w:ascii="Times New Roman" w:hAnsi="Times New Roman"/>
        <w:b/>
        <w:sz w:val="20"/>
        <w:szCs w:val="16"/>
      </w:rPr>
      <w:t>Ne</w:t>
    </w:r>
    <w:r w:rsidR="00717D41" w:rsidRPr="009602A7">
      <w:rPr>
        <w:rFonts w:ascii="Times New Roman" w:hAnsi="Times New Roman"/>
        <w:b/>
        <w:sz w:val="20"/>
        <w:szCs w:val="16"/>
      </w:rPr>
      <w:t>vada Society of Health-Systems Pharmacy</w:t>
    </w:r>
    <w:r w:rsidR="00717D41" w:rsidRPr="009602A7">
      <w:rPr>
        <w:rFonts w:ascii="Times New Roman" w:hAnsi="Times New Roman"/>
        <w:sz w:val="20"/>
        <w:szCs w:val="16"/>
      </w:rPr>
      <w:t xml:space="preserve"> -</w:t>
    </w:r>
    <w:r w:rsidR="009602A7" w:rsidRPr="009602A7">
      <w:rPr>
        <w:rFonts w:ascii="Times New Roman" w:hAnsi="Times New Roman"/>
        <w:sz w:val="20"/>
        <w:szCs w:val="16"/>
      </w:rPr>
      <w:t xml:space="preserve"> Article Submitted to the</w:t>
    </w:r>
    <w:r w:rsidR="00717D41" w:rsidRPr="009602A7">
      <w:rPr>
        <w:rFonts w:ascii="Times New Roman" w:hAnsi="Times New Roman"/>
        <w:sz w:val="20"/>
        <w:szCs w:val="16"/>
      </w:rPr>
      <w:t xml:space="preserve"> Board of Directors Aug 17, 2021</w:t>
    </w:r>
    <w:r w:rsidR="00717D41" w:rsidRPr="009602A7">
      <w:rPr>
        <w:rFonts w:ascii="Times New Roman" w:hAnsi="Times New Roman"/>
        <w:sz w:val="20"/>
        <w:szCs w:val="16"/>
      </w:rPr>
      <w:ptab w:relativeTo="margin" w:alignment="right" w:leader="none"/>
    </w:r>
    <w:r w:rsidR="00717D41" w:rsidRPr="009602A7">
      <w:rPr>
        <w:rFonts w:ascii="Times New Roman" w:hAnsi="Times New Roman"/>
        <w:sz w:val="20"/>
        <w:szCs w:val="16"/>
      </w:rPr>
      <w:fldChar w:fldCharType="begin"/>
    </w:r>
    <w:r w:rsidR="00717D41" w:rsidRPr="009602A7">
      <w:rPr>
        <w:rFonts w:ascii="Times New Roman" w:hAnsi="Times New Roman"/>
        <w:sz w:val="20"/>
        <w:szCs w:val="16"/>
      </w:rPr>
      <w:instrText xml:space="preserve"> PAGE   \* MERGEFORMAT </w:instrText>
    </w:r>
    <w:r w:rsidR="00717D41" w:rsidRPr="009602A7">
      <w:rPr>
        <w:rFonts w:ascii="Times New Roman" w:hAnsi="Times New Roman"/>
        <w:sz w:val="20"/>
        <w:szCs w:val="16"/>
      </w:rPr>
      <w:fldChar w:fldCharType="separate"/>
    </w:r>
    <w:r w:rsidR="005C5AFD">
      <w:rPr>
        <w:rFonts w:ascii="Times New Roman" w:hAnsi="Times New Roman"/>
        <w:noProof/>
        <w:sz w:val="20"/>
        <w:szCs w:val="16"/>
      </w:rPr>
      <w:t>3</w:t>
    </w:r>
    <w:r w:rsidR="00717D41" w:rsidRPr="009602A7">
      <w:rPr>
        <w:rFonts w:ascii="Times New Roman" w:hAnsi="Times New Roman"/>
        <w:noProof/>
        <w:sz w:val="20"/>
        <w:szCs w:val="16"/>
      </w:rPr>
      <w:fldChar w:fldCharType="end"/>
    </w:r>
    <w:r w:rsidR="00717D41" w:rsidRPr="009602A7">
      <w:rPr>
        <w:rFonts w:ascii="Times New Roman" w:hAnsi="Times New Roman"/>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E77C8" w14:textId="77777777" w:rsidR="00E338C4" w:rsidRDefault="00E338C4" w:rsidP="00927301">
      <w:pPr>
        <w:spacing w:after="0" w:line="240" w:lineRule="auto"/>
      </w:pPr>
      <w:r>
        <w:separator/>
      </w:r>
    </w:p>
  </w:footnote>
  <w:footnote w:type="continuationSeparator" w:id="0">
    <w:p w14:paraId="351D9C4F" w14:textId="77777777" w:rsidR="00E338C4" w:rsidRDefault="00E338C4" w:rsidP="0092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E62CA" w14:textId="683AE1B3" w:rsidR="00F14221" w:rsidRPr="009602A7" w:rsidRDefault="009602A7" w:rsidP="001035D9">
    <w:pPr>
      <w:pStyle w:val="IOPHeader"/>
      <w:tabs>
        <w:tab w:val="clear" w:pos="4513"/>
        <w:tab w:val="clear" w:pos="9026"/>
        <w:tab w:val="right" w:pos="10092"/>
      </w:tabs>
      <w:rPr>
        <w:rFonts w:ascii="Times New Roman" w:hAnsi="Times New Roman"/>
        <w:b/>
      </w:rPr>
    </w:pPr>
    <w:r>
      <w:rPr>
        <w:noProof/>
        <w:lang w:val="en-US"/>
      </w:rPr>
      <w:drawing>
        <wp:inline distT="0" distB="0" distL="0" distR="0" wp14:anchorId="47B39609" wp14:editId="4F8FB48E">
          <wp:extent cx="1022350" cy="454378"/>
          <wp:effectExtent l="0" t="0" r="6350" b="3175"/>
          <wp:docPr id="5" name="Picture 5" descr="https://www.nvshp.org/assets/site/nsv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vshp.org/assets/site/nsvh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54" cy="500824"/>
                  </a:xfrm>
                  <a:prstGeom prst="rect">
                    <a:avLst/>
                  </a:prstGeom>
                  <a:noFill/>
                  <a:ln>
                    <a:noFill/>
                  </a:ln>
                </pic:spPr>
              </pic:pic>
            </a:graphicData>
          </a:graphic>
        </wp:inline>
      </w:drawing>
    </w:r>
    <w:r w:rsidR="003E4E2B">
      <w:tab/>
    </w:r>
    <w:r w:rsidR="001035D9" w:rsidRPr="009602A7">
      <w:rPr>
        <w:rFonts w:ascii="Times New Roman" w:hAnsi="Times New Roman"/>
        <w:b/>
      </w:rPr>
      <w:t>Factors Associated with Naloxone Usage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DA674" w14:textId="66B7EEEF" w:rsidR="009536C0" w:rsidRPr="009602A7" w:rsidRDefault="00F14221" w:rsidP="003E4E2B">
    <w:pPr>
      <w:pStyle w:val="IOPHeader"/>
      <w:tabs>
        <w:tab w:val="clear" w:pos="4513"/>
        <w:tab w:val="clear" w:pos="9026"/>
        <w:tab w:val="right" w:pos="10092"/>
      </w:tabs>
    </w:pPr>
    <w:r>
      <w:rPr>
        <w:noProof/>
        <w:lang w:val="en-US"/>
      </w:rPr>
      <w:drawing>
        <wp:inline distT="0" distB="0" distL="0" distR="0" wp14:anchorId="64ACE1AB" wp14:editId="439E6BE6">
          <wp:extent cx="1022350" cy="454378"/>
          <wp:effectExtent l="0" t="0" r="6350" b="3175"/>
          <wp:docPr id="449" name="Picture 449" descr="https://www.nvshp.org/assets/site/nsv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vshp.org/assets/site/nsvh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54" cy="500824"/>
                  </a:xfrm>
                  <a:prstGeom prst="rect">
                    <a:avLst/>
                  </a:prstGeom>
                  <a:noFill/>
                  <a:ln>
                    <a:noFill/>
                  </a:ln>
                </pic:spPr>
              </pic:pic>
            </a:graphicData>
          </a:graphic>
        </wp:inline>
      </w:drawing>
    </w:r>
    <w:r w:rsidR="003E4E2B">
      <w:tab/>
    </w:r>
    <w:r w:rsidR="000A2FA7" w:rsidRPr="009602A7">
      <w:rPr>
        <w:rFonts w:ascii="Times New Roman" w:hAnsi="Times New Roman"/>
        <w:b/>
      </w:rPr>
      <w:t>Factors Associated with Naloxone Usage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63530"/>
    <w:multiLevelType w:val="hybridMultilevel"/>
    <w:tmpl w:val="42B8F628"/>
    <w:lvl w:ilvl="0" w:tplc="0409000F">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4337">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D1"/>
    <w:rsid w:val="00007341"/>
    <w:rsid w:val="00007E3B"/>
    <w:rsid w:val="0002244D"/>
    <w:rsid w:val="00025E5E"/>
    <w:rsid w:val="000301B2"/>
    <w:rsid w:val="000422B3"/>
    <w:rsid w:val="00046A7C"/>
    <w:rsid w:val="00050A4A"/>
    <w:rsid w:val="000671C4"/>
    <w:rsid w:val="00073620"/>
    <w:rsid w:val="00082E12"/>
    <w:rsid w:val="00090614"/>
    <w:rsid w:val="0009383A"/>
    <w:rsid w:val="00093BF1"/>
    <w:rsid w:val="0009752F"/>
    <w:rsid w:val="000A206D"/>
    <w:rsid w:val="000A2FA7"/>
    <w:rsid w:val="000A33FC"/>
    <w:rsid w:val="000A4A2B"/>
    <w:rsid w:val="000A7723"/>
    <w:rsid w:val="000B0BA2"/>
    <w:rsid w:val="000B2B7E"/>
    <w:rsid w:val="000C05AB"/>
    <w:rsid w:val="000C6AD1"/>
    <w:rsid w:val="000C7B29"/>
    <w:rsid w:val="000E1913"/>
    <w:rsid w:val="000E312E"/>
    <w:rsid w:val="000F6B43"/>
    <w:rsid w:val="00101039"/>
    <w:rsid w:val="001035D9"/>
    <w:rsid w:val="00103FD8"/>
    <w:rsid w:val="00105DF1"/>
    <w:rsid w:val="00107B96"/>
    <w:rsid w:val="001103AB"/>
    <w:rsid w:val="0011288D"/>
    <w:rsid w:val="00115C2D"/>
    <w:rsid w:val="001166C4"/>
    <w:rsid w:val="0013106B"/>
    <w:rsid w:val="001415B6"/>
    <w:rsid w:val="00144F5B"/>
    <w:rsid w:val="00145CE7"/>
    <w:rsid w:val="00145D06"/>
    <w:rsid w:val="00147E4D"/>
    <w:rsid w:val="00151184"/>
    <w:rsid w:val="00151875"/>
    <w:rsid w:val="00154AE3"/>
    <w:rsid w:val="00155B02"/>
    <w:rsid w:val="00164FFA"/>
    <w:rsid w:val="00166B3E"/>
    <w:rsid w:val="00171230"/>
    <w:rsid w:val="001803C2"/>
    <w:rsid w:val="0018090E"/>
    <w:rsid w:val="001846C4"/>
    <w:rsid w:val="001943DF"/>
    <w:rsid w:val="001B0173"/>
    <w:rsid w:val="001B341B"/>
    <w:rsid w:val="001B5DE1"/>
    <w:rsid w:val="001B7EA0"/>
    <w:rsid w:val="001C11A5"/>
    <w:rsid w:val="001C3186"/>
    <w:rsid w:val="001C4341"/>
    <w:rsid w:val="001D65AA"/>
    <w:rsid w:val="001E495D"/>
    <w:rsid w:val="00207972"/>
    <w:rsid w:val="002149D1"/>
    <w:rsid w:val="00217F82"/>
    <w:rsid w:val="00220466"/>
    <w:rsid w:val="00225F31"/>
    <w:rsid w:val="00227C2A"/>
    <w:rsid w:val="002301B3"/>
    <w:rsid w:val="002311A0"/>
    <w:rsid w:val="00244C14"/>
    <w:rsid w:val="002534A8"/>
    <w:rsid w:val="002643A3"/>
    <w:rsid w:val="002662EB"/>
    <w:rsid w:val="00275970"/>
    <w:rsid w:val="00286C55"/>
    <w:rsid w:val="00290D79"/>
    <w:rsid w:val="00293AEC"/>
    <w:rsid w:val="002A392B"/>
    <w:rsid w:val="002A7BED"/>
    <w:rsid w:val="002A7F6D"/>
    <w:rsid w:val="002B138B"/>
    <w:rsid w:val="002B23F2"/>
    <w:rsid w:val="002B7773"/>
    <w:rsid w:val="002C56FD"/>
    <w:rsid w:val="002D7C37"/>
    <w:rsid w:val="002F2E62"/>
    <w:rsid w:val="002F4305"/>
    <w:rsid w:val="00305A78"/>
    <w:rsid w:val="003103F6"/>
    <w:rsid w:val="003149A2"/>
    <w:rsid w:val="00322803"/>
    <w:rsid w:val="00337E77"/>
    <w:rsid w:val="00365FC2"/>
    <w:rsid w:val="00370371"/>
    <w:rsid w:val="00370C12"/>
    <w:rsid w:val="003723F1"/>
    <w:rsid w:val="00376443"/>
    <w:rsid w:val="0038439F"/>
    <w:rsid w:val="00396087"/>
    <w:rsid w:val="003A122B"/>
    <w:rsid w:val="003A5833"/>
    <w:rsid w:val="003A6A51"/>
    <w:rsid w:val="003D4B9A"/>
    <w:rsid w:val="003E0A33"/>
    <w:rsid w:val="003E4E2B"/>
    <w:rsid w:val="003E5B4D"/>
    <w:rsid w:val="003E5BD6"/>
    <w:rsid w:val="003E6FD7"/>
    <w:rsid w:val="003F00B3"/>
    <w:rsid w:val="003F6913"/>
    <w:rsid w:val="003F72DD"/>
    <w:rsid w:val="0041330F"/>
    <w:rsid w:val="00414FA4"/>
    <w:rsid w:val="00415902"/>
    <w:rsid w:val="0043171A"/>
    <w:rsid w:val="0043733A"/>
    <w:rsid w:val="0044346F"/>
    <w:rsid w:val="004459BF"/>
    <w:rsid w:val="00446EAC"/>
    <w:rsid w:val="00447A08"/>
    <w:rsid w:val="004525B1"/>
    <w:rsid w:val="004547A7"/>
    <w:rsid w:val="00462356"/>
    <w:rsid w:val="00475C93"/>
    <w:rsid w:val="00485107"/>
    <w:rsid w:val="004A0458"/>
    <w:rsid w:val="004A0BE2"/>
    <w:rsid w:val="004A3755"/>
    <w:rsid w:val="004A47B2"/>
    <w:rsid w:val="004A75B0"/>
    <w:rsid w:val="004A7D01"/>
    <w:rsid w:val="004B0DD9"/>
    <w:rsid w:val="004B622E"/>
    <w:rsid w:val="004B76CF"/>
    <w:rsid w:val="004C2512"/>
    <w:rsid w:val="004C27A7"/>
    <w:rsid w:val="004C3405"/>
    <w:rsid w:val="004C34A6"/>
    <w:rsid w:val="004C7721"/>
    <w:rsid w:val="004D1996"/>
    <w:rsid w:val="004D27D2"/>
    <w:rsid w:val="004D2C0F"/>
    <w:rsid w:val="004D2DF9"/>
    <w:rsid w:val="004D2E4E"/>
    <w:rsid w:val="004D6093"/>
    <w:rsid w:val="004D612D"/>
    <w:rsid w:val="004E11FB"/>
    <w:rsid w:val="004E2F0F"/>
    <w:rsid w:val="004E3CB6"/>
    <w:rsid w:val="004E4EEA"/>
    <w:rsid w:val="004F1C46"/>
    <w:rsid w:val="004F2D8B"/>
    <w:rsid w:val="004F6AEE"/>
    <w:rsid w:val="0050125F"/>
    <w:rsid w:val="005223F4"/>
    <w:rsid w:val="005315B5"/>
    <w:rsid w:val="0053269E"/>
    <w:rsid w:val="005407B1"/>
    <w:rsid w:val="00543282"/>
    <w:rsid w:val="0055274C"/>
    <w:rsid w:val="00563B64"/>
    <w:rsid w:val="00570281"/>
    <w:rsid w:val="005764A0"/>
    <w:rsid w:val="00584ECB"/>
    <w:rsid w:val="00590F56"/>
    <w:rsid w:val="00591759"/>
    <w:rsid w:val="00597F4E"/>
    <w:rsid w:val="005B5D1B"/>
    <w:rsid w:val="005C5AFD"/>
    <w:rsid w:val="005C6C2E"/>
    <w:rsid w:val="005C7D3E"/>
    <w:rsid w:val="005D5D55"/>
    <w:rsid w:val="005D7E8B"/>
    <w:rsid w:val="005F0DEF"/>
    <w:rsid w:val="005F1A3D"/>
    <w:rsid w:val="00611042"/>
    <w:rsid w:val="0061238A"/>
    <w:rsid w:val="00614AF0"/>
    <w:rsid w:val="00621C32"/>
    <w:rsid w:val="006228A2"/>
    <w:rsid w:val="0062386E"/>
    <w:rsid w:val="00623EED"/>
    <w:rsid w:val="006273A3"/>
    <w:rsid w:val="006340A3"/>
    <w:rsid w:val="006368BF"/>
    <w:rsid w:val="00636BC0"/>
    <w:rsid w:val="00646B07"/>
    <w:rsid w:val="00650F83"/>
    <w:rsid w:val="006524DB"/>
    <w:rsid w:val="00653D32"/>
    <w:rsid w:val="00654D1E"/>
    <w:rsid w:val="00667054"/>
    <w:rsid w:val="00667927"/>
    <w:rsid w:val="00685276"/>
    <w:rsid w:val="006902C7"/>
    <w:rsid w:val="006944C4"/>
    <w:rsid w:val="00697503"/>
    <w:rsid w:val="006A121C"/>
    <w:rsid w:val="006A476B"/>
    <w:rsid w:val="006B0A1E"/>
    <w:rsid w:val="006C4BB5"/>
    <w:rsid w:val="006C690A"/>
    <w:rsid w:val="007003FD"/>
    <w:rsid w:val="00705E22"/>
    <w:rsid w:val="0070618E"/>
    <w:rsid w:val="00711678"/>
    <w:rsid w:val="00712762"/>
    <w:rsid w:val="00713247"/>
    <w:rsid w:val="00717D41"/>
    <w:rsid w:val="00723E65"/>
    <w:rsid w:val="007245F9"/>
    <w:rsid w:val="00725D44"/>
    <w:rsid w:val="007313EA"/>
    <w:rsid w:val="0073435F"/>
    <w:rsid w:val="0073742E"/>
    <w:rsid w:val="00742719"/>
    <w:rsid w:val="00763639"/>
    <w:rsid w:val="007722DD"/>
    <w:rsid w:val="007803C3"/>
    <w:rsid w:val="00783F45"/>
    <w:rsid w:val="00796243"/>
    <w:rsid w:val="007A008C"/>
    <w:rsid w:val="007B7182"/>
    <w:rsid w:val="007C26D0"/>
    <w:rsid w:val="007C5244"/>
    <w:rsid w:val="007D2937"/>
    <w:rsid w:val="007E5F4B"/>
    <w:rsid w:val="007F17C3"/>
    <w:rsid w:val="007F769E"/>
    <w:rsid w:val="00807EC3"/>
    <w:rsid w:val="0081055A"/>
    <w:rsid w:val="00811A46"/>
    <w:rsid w:val="008158B4"/>
    <w:rsid w:val="00824DD1"/>
    <w:rsid w:val="00835EA7"/>
    <w:rsid w:val="00837792"/>
    <w:rsid w:val="00841388"/>
    <w:rsid w:val="00843DE0"/>
    <w:rsid w:val="008537CA"/>
    <w:rsid w:val="00865D66"/>
    <w:rsid w:val="008700AA"/>
    <w:rsid w:val="00872C7A"/>
    <w:rsid w:val="00873D13"/>
    <w:rsid w:val="0087550C"/>
    <w:rsid w:val="00875FB3"/>
    <w:rsid w:val="00877196"/>
    <w:rsid w:val="00877314"/>
    <w:rsid w:val="00882AE6"/>
    <w:rsid w:val="00882D44"/>
    <w:rsid w:val="00882DD5"/>
    <w:rsid w:val="00894AF3"/>
    <w:rsid w:val="008A35E2"/>
    <w:rsid w:val="008B6172"/>
    <w:rsid w:val="008C0C83"/>
    <w:rsid w:val="008C7E57"/>
    <w:rsid w:val="008D59E9"/>
    <w:rsid w:val="008E71E6"/>
    <w:rsid w:val="008F14E7"/>
    <w:rsid w:val="008F73E0"/>
    <w:rsid w:val="00903A7E"/>
    <w:rsid w:val="00912DF6"/>
    <w:rsid w:val="009136FD"/>
    <w:rsid w:val="00913755"/>
    <w:rsid w:val="0091472D"/>
    <w:rsid w:val="009148F9"/>
    <w:rsid w:val="00927301"/>
    <w:rsid w:val="009536C0"/>
    <w:rsid w:val="009602A7"/>
    <w:rsid w:val="00970DC9"/>
    <w:rsid w:val="00976E31"/>
    <w:rsid w:val="00982368"/>
    <w:rsid w:val="00985703"/>
    <w:rsid w:val="009936AC"/>
    <w:rsid w:val="009A6A7A"/>
    <w:rsid w:val="009B309E"/>
    <w:rsid w:val="009C05C9"/>
    <w:rsid w:val="009C3BBE"/>
    <w:rsid w:val="009C7252"/>
    <w:rsid w:val="009E37C6"/>
    <w:rsid w:val="009F4EFA"/>
    <w:rsid w:val="00A028A2"/>
    <w:rsid w:val="00A1575C"/>
    <w:rsid w:val="00A21CD3"/>
    <w:rsid w:val="00A220AD"/>
    <w:rsid w:val="00A2380F"/>
    <w:rsid w:val="00A305E3"/>
    <w:rsid w:val="00A378CA"/>
    <w:rsid w:val="00A40AFB"/>
    <w:rsid w:val="00A46243"/>
    <w:rsid w:val="00A51F72"/>
    <w:rsid w:val="00A65F30"/>
    <w:rsid w:val="00A829F5"/>
    <w:rsid w:val="00A83CB1"/>
    <w:rsid w:val="00A975EF"/>
    <w:rsid w:val="00AB2691"/>
    <w:rsid w:val="00AB270E"/>
    <w:rsid w:val="00AB5611"/>
    <w:rsid w:val="00AC40A3"/>
    <w:rsid w:val="00AC438C"/>
    <w:rsid w:val="00AC6102"/>
    <w:rsid w:val="00AD1AE6"/>
    <w:rsid w:val="00AD2E45"/>
    <w:rsid w:val="00AE19BD"/>
    <w:rsid w:val="00AF30AD"/>
    <w:rsid w:val="00AF6938"/>
    <w:rsid w:val="00B13C07"/>
    <w:rsid w:val="00B15CD1"/>
    <w:rsid w:val="00B17219"/>
    <w:rsid w:val="00B17B0D"/>
    <w:rsid w:val="00B17F38"/>
    <w:rsid w:val="00B22956"/>
    <w:rsid w:val="00B26157"/>
    <w:rsid w:val="00B31D49"/>
    <w:rsid w:val="00B31D60"/>
    <w:rsid w:val="00B35DEC"/>
    <w:rsid w:val="00B374D2"/>
    <w:rsid w:val="00B40ED1"/>
    <w:rsid w:val="00B43101"/>
    <w:rsid w:val="00B52530"/>
    <w:rsid w:val="00B531C4"/>
    <w:rsid w:val="00B5338A"/>
    <w:rsid w:val="00B55436"/>
    <w:rsid w:val="00B5642E"/>
    <w:rsid w:val="00B5697B"/>
    <w:rsid w:val="00B57590"/>
    <w:rsid w:val="00B64B1B"/>
    <w:rsid w:val="00B64F35"/>
    <w:rsid w:val="00B7211F"/>
    <w:rsid w:val="00B7586C"/>
    <w:rsid w:val="00B77F4F"/>
    <w:rsid w:val="00B86263"/>
    <w:rsid w:val="00B87206"/>
    <w:rsid w:val="00B87DAD"/>
    <w:rsid w:val="00B92EC3"/>
    <w:rsid w:val="00B94406"/>
    <w:rsid w:val="00B9566D"/>
    <w:rsid w:val="00BA1428"/>
    <w:rsid w:val="00BB4222"/>
    <w:rsid w:val="00BB70C8"/>
    <w:rsid w:val="00BC0810"/>
    <w:rsid w:val="00BC40AA"/>
    <w:rsid w:val="00BC7C43"/>
    <w:rsid w:val="00BD33C6"/>
    <w:rsid w:val="00BD64E8"/>
    <w:rsid w:val="00BE3E91"/>
    <w:rsid w:val="00BE3EE6"/>
    <w:rsid w:val="00BE6B31"/>
    <w:rsid w:val="00BF1D6A"/>
    <w:rsid w:val="00BF3D98"/>
    <w:rsid w:val="00C01479"/>
    <w:rsid w:val="00C0342F"/>
    <w:rsid w:val="00C0528A"/>
    <w:rsid w:val="00C31D2F"/>
    <w:rsid w:val="00C36664"/>
    <w:rsid w:val="00C42265"/>
    <w:rsid w:val="00C45890"/>
    <w:rsid w:val="00C5292C"/>
    <w:rsid w:val="00C53A51"/>
    <w:rsid w:val="00C55A9C"/>
    <w:rsid w:val="00C664C9"/>
    <w:rsid w:val="00C70758"/>
    <w:rsid w:val="00C80F8A"/>
    <w:rsid w:val="00C91F55"/>
    <w:rsid w:val="00CB16EB"/>
    <w:rsid w:val="00CB2639"/>
    <w:rsid w:val="00CB3FB7"/>
    <w:rsid w:val="00CB4F73"/>
    <w:rsid w:val="00CB71A1"/>
    <w:rsid w:val="00CD514B"/>
    <w:rsid w:val="00CE3EE5"/>
    <w:rsid w:val="00D00208"/>
    <w:rsid w:val="00D05794"/>
    <w:rsid w:val="00D05952"/>
    <w:rsid w:val="00D12D8A"/>
    <w:rsid w:val="00D13DD2"/>
    <w:rsid w:val="00D1479D"/>
    <w:rsid w:val="00D304D8"/>
    <w:rsid w:val="00D4198B"/>
    <w:rsid w:val="00D43152"/>
    <w:rsid w:val="00D52D9F"/>
    <w:rsid w:val="00D60139"/>
    <w:rsid w:val="00D61969"/>
    <w:rsid w:val="00D719B6"/>
    <w:rsid w:val="00D724FB"/>
    <w:rsid w:val="00D74B07"/>
    <w:rsid w:val="00D833AB"/>
    <w:rsid w:val="00D8382F"/>
    <w:rsid w:val="00D84AD9"/>
    <w:rsid w:val="00DA79E1"/>
    <w:rsid w:val="00DB2B5E"/>
    <w:rsid w:val="00DC2E98"/>
    <w:rsid w:val="00DC6657"/>
    <w:rsid w:val="00DD3631"/>
    <w:rsid w:val="00DE6A28"/>
    <w:rsid w:val="00DF1844"/>
    <w:rsid w:val="00E00596"/>
    <w:rsid w:val="00E00C1F"/>
    <w:rsid w:val="00E20803"/>
    <w:rsid w:val="00E249FB"/>
    <w:rsid w:val="00E3110B"/>
    <w:rsid w:val="00E338C4"/>
    <w:rsid w:val="00E36288"/>
    <w:rsid w:val="00E37EAC"/>
    <w:rsid w:val="00E4080E"/>
    <w:rsid w:val="00E4440D"/>
    <w:rsid w:val="00E5050F"/>
    <w:rsid w:val="00E546E9"/>
    <w:rsid w:val="00E5756C"/>
    <w:rsid w:val="00E61F68"/>
    <w:rsid w:val="00E620CF"/>
    <w:rsid w:val="00E62B33"/>
    <w:rsid w:val="00E649E6"/>
    <w:rsid w:val="00E76198"/>
    <w:rsid w:val="00E77521"/>
    <w:rsid w:val="00E80B21"/>
    <w:rsid w:val="00E82680"/>
    <w:rsid w:val="00E854B7"/>
    <w:rsid w:val="00E86050"/>
    <w:rsid w:val="00E959E7"/>
    <w:rsid w:val="00EB1EF6"/>
    <w:rsid w:val="00EB3F7F"/>
    <w:rsid w:val="00EC0179"/>
    <w:rsid w:val="00EC2796"/>
    <w:rsid w:val="00ED78F9"/>
    <w:rsid w:val="00EE040D"/>
    <w:rsid w:val="00EE7B24"/>
    <w:rsid w:val="00EF41B5"/>
    <w:rsid w:val="00EF575A"/>
    <w:rsid w:val="00F14221"/>
    <w:rsid w:val="00F254DE"/>
    <w:rsid w:val="00F3175C"/>
    <w:rsid w:val="00F32AB5"/>
    <w:rsid w:val="00F360F7"/>
    <w:rsid w:val="00F56415"/>
    <w:rsid w:val="00F649AA"/>
    <w:rsid w:val="00F65EB8"/>
    <w:rsid w:val="00F714B6"/>
    <w:rsid w:val="00F74254"/>
    <w:rsid w:val="00F90A49"/>
    <w:rsid w:val="00FA1306"/>
    <w:rsid w:val="00FB2367"/>
    <w:rsid w:val="00FB60EA"/>
    <w:rsid w:val="00FC00C5"/>
    <w:rsid w:val="00FD4DD8"/>
    <w:rsid w:val="00FD75CE"/>
    <w:rsid w:val="00FE4B89"/>
    <w:rsid w:val="00FF2D12"/>
    <w:rsid w:val="00FF3FFD"/>
    <w:rsid w:val="00FF7A03"/>
    <w:rsid w:val="00FF7C86"/>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white"/>
    </o:shapedefaults>
    <o:shapelayout v:ext="edit">
      <o:idmap v:ext="edit" data="1"/>
    </o:shapelayout>
  </w:shapeDefaults>
  <w:decimalSymbol w:val="."/>
  <w:listSeparator w:val=","/>
  <w14:docId w14:val="0A24DEC1"/>
  <w15:chartTrackingRefBased/>
  <w15:docId w15:val="{31516AB3-DA3A-4A4C-B73C-C10151E4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F2E62"/>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01"/>
  </w:style>
  <w:style w:type="paragraph" w:styleId="Footer">
    <w:name w:val="footer"/>
    <w:basedOn w:val="Normal"/>
    <w:link w:val="FooterChar"/>
    <w:uiPriority w:val="99"/>
    <w:unhideWhenUsed/>
    <w:rsid w:val="0092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01"/>
  </w:style>
  <w:style w:type="paragraph" w:customStyle="1" w:styleId="IOPHeader">
    <w:name w:val="IOPHeader"/>
    <w:basedOn w:val="Header"/>
    <w:link w:val="IOPHeaderChar"/>
    <w:qFormat/>
    <w:rsid w:val="00654D1E"/>
    <w:pPr>
      <w:pBdr>
        <w:bottom w:val="single" w:sz="4" w:space="1" w:color="auto"/>
      </w:pBdr>
    </w:pPr>
  </w:style>
  <w:style w:type="paragraph" w:customStyle="1" w:styleId="IOPTitle">
    <w:name w:val="IOPTitle"/>
    <w:basedOn w:val="Normal"/>
    <w:link w:val="IOPTitleChar"/>
    <w:qFormat/>
    <w:rsid w:val="00D43152"/>
    <w:pPr>
      <w:spacing w:after="520"/>
    </w:pPr>
    <w:rPr>
      <w:b/>
      <w:sz w:val="48"/>
      <w:szCs w:val="48"/>
    </w:rPr>
  </w:style>
  <w:style w:type="character" w:customStyle="1" w:styleId="IOPHeaderChar">
    <w:name w:val="IOPHeader Char"/>
    <w:basedOn w:val="HeaderChar"/>
    <w:link w:val="IOPHeader"/>
    <w:rsid w:val="00654D1E"/>
  </w:style>
  <w:style w:type="paragraph" w:customStyle="1" w:styleId="IOPAuthor">
    <w:name w:val="IOPAuthor"/>
    <w:basedOn w:val="Normal"/>
    <w:link w:val="IOPAuthorChar"/>
    <w:qFormat/>
    <w:rsid w:val="00D74B07"/>
    <w:pPr>
      <w:spacing w:after="200"/>
      <w:ind w:right="2552"/>
    </w:pPr>
    <w:rPr>
      <w:b/>
    </w:rPr>
  </w:style>
  <w:style w:type="character" w:customStyle="1" w:styleId="IOPTitleChar">
    <w:name w:val="IOPTitle Char"/>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b w:val="0"/>
      <w:sz w:val="18"/>
      <w:szCs w:val="18"/>
    </w:rPr>
  </w:style>
  <w:style w:type="character" w:customStyle="1" w:styleId="IOPAuthorChar">
    <w:name w:val="IOPAuthor Char"/>
    <w:link w:val="IOPAuthor"/>
    <w:rsid w:val="00D74B07"/>
    <w:rPr>
      <w:b/>
    </w:rPr>
  </w:style>
  <w:style w:type="paragraph" w:customStyle="1" w:styleId="IOPH1">
    <w:name w:val="IOPH1"/>
    <w:basedOn w:val="IOPAff"/>
    <w:link w:val="IOPH1Char"/>
    <w:qFormat/>
    <w:rsid w:val="0087550C"/>
    <w:pPr>
      <w:spacing w:before="200" w:after="120"/>
      <w:ind w:right="0"/>
    </w:pPr>
    <w:rPr>
      <w:rFonts w:ascii="Calibri" w:hAnsi="Calibri"/>
      <w:b/>
      <w:sz w:val="22"/>
    </w:rPr>
  </w:style>
  <w:style w:type="character" w:customStyle="1" w:styleId="IOPAffChar">
    <w:name w:val="IOPAff Char"/>
    <w:link w:val="IOPAff"/>
    <w:rsid w:val="00D74B07"/>
    <w:rPr>
      <w:rFonts w:ascii="Times New Roman" w:hAnsi="Times New Roman" w:cs="Times New Roman"/>
      <w:b w:val="0"/>
      <w:sz w:val="18"/>
      <w:szCs w:val="18"/>
    </w:rPr>
  </w:style>
  <w:style w:type="paragraph" w:customStyle="1" w:styleId="IOPAbsText">
    <w:name w:val="IOPAbsText"/>
    <w:basedOn w:val="Normal"/>
    <w:link w:val="IOPAbsTextChar"/>
    <w:qFormat/>
    <w:rsid w:val="00D74B07"/>
    <w:pPr>
      <w:spacing w:after="0"/>
      <w:ind w:right="2552"/>
    </w:pPr>
    <w:rPr>
      <w:rFonts w:ascii="Times New Roman" w:hAnsi="Times New Roman"/>
      <w:sz w:val="20"/>
    </w:rPr>
  </w:style>
  <w:style w:type="character" w:customStyle="1" w:styleId="IOPH1Char">
    <w:name w:val="IOPH1 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link w:val="IOPKwd"/>
    <w:rsid w:val="005223F4"/>
    <w:rPr>
      <w:rFonts w:ascii="Times New Roman" w:hAnsi="Times New Roman"/>
      <w:sz w:val="20"/>
    </w:rPr>
  </w:style>
  <w:style w:type="character" w:customStyle="1" w:styleId="IOPTextChar">
    <w:name w:val="IOPText 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line="259" w:lineRule="auto"/>
      <w:ind w:left="284" w:hanging="284"/>
    </w:pPr>
    <w:rPr>
      <w:rFonts w:ascii="Times New Roman" w:hAnsi="Times New Roman"/>
      <w:noProof/>
      <w:sz w:val="18"/>
      <w:szCs w:val="22"/>
      <w:lang w:val="en-GB"/>
    </w:rPr>
  </w:style>
  <w:style w:type="character" w:customStyle="1" w:styleId="IOPH3Char">
    <w:name w:val="IOPH3 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link w:val="IOPrefs0"/>
    <w:rsid w:val="00E86050"/>
    <w:rPr>
      <w:rFonts w:ascii="Times New Roman" w:hAnsi="Times New Roman"/>
      <w:noProof/>
      <w:sz w:val="18"/>
    </w:rPr>
  </w:style>
  <w:style w:type="character" w:customStyle="1" w:styleId="IOPRefsChar0">
    <w:name w:val="IOPRefs Char"/>
    <w:link w:val="IOPRefs"/>
    <w:rsid w:val="00E86050"/>
    <w:rPr>
      <w:rFonts w:ascii="Times New Roman" w:hAnsi="Times New Roman"/>
      <w:noProof/>
      <w:sz w:val="18"/>
    </w:rPr>
  </w:style>
  <w:style w:type="character" w:styleId="CommentReference">
    <w:name w:val="annotation reference"/>
    <w:basedOn w:val="DefaultParagraphFont"/>
    <w:uiPriority w:val="99"/>
    <w:semiHidden/>
    <w:unhideWhenUsed/>
    <w:rsid w:val="000E312E"/>
    <w:rPr>
      <w:sz w:val="16"/>
      <w:szCs w:val="16"/>
    </w:rPr>
  </w:style>
  <w:style w:type="paragraph" w:styleId="CommentText">
    <w:name w:val="annotation text"/>
    <w:basedOn w:val="Normal"/>
    <w:link w:val="CommentTextChar"/>
    <w:uiPriority w:val="99"/>
    <w:semiHidden/>
    <w:unhideWhenUsed/>
    <w:rsid w:val="000E312E"/>
    <w:rPr>
      <w:sz w:val="20"/>
      <w:szCs w:val="20"/>
    </w:rPr>
  </w:style>
  <w:style w:type="character" w:customStyle="1" w:styleId="CommentTextChar">
    <w:name w:val="Comment Text Char"/>
    <w:basedOn w:val="DefaultParagraphFont"/>
    <w:link w:val="CommentText"/>
    <w:uiPriority w:val="99"/>
    <w:semiHidden/>
    <w:rsid w:val="000E312E"/>
    <w:rPr>
      <w:lang w:val="en-GB"/>
    </w:rPr>
  </w:style>
  <w:style w:type="paragraph" w:styleId="CommentSubject">
    <w:name w:val="annotation subject"/>
    <w:basedOn w:val="CommentText"/>
    <w:next w:val="CommentText"/>
    <w:link w:val="CommentSubjectChar"/>
    <w:uiPriority w:val="99"/>
    <w:semiHidden/>
    <w:unhideWhenUsed/>
    <w:rsid w:val="000E312E"/>
    <w:rPr>
      <w:b/>
      <w:bCs/>
    </w:rPr>
  </w:style>
  <w:style w:type="character" w:customStyle="1" w:styleId="CommentSubjectChar">
    <w:name w:val="Comment Subject Char"/>
    <w:basedOn w:val="CommentTextChar"/>
    <w:link w:val="CommentSubject"/>
    <w:uiPriority w:val="99"/>
    <w:semiHidden/>
    <w:rsid w:val="000E312E"/>
    <w:rPr>
      <w:b/>
      <w:bCs/>
      <w:lang w:val="en-GB"/>
    </w:rPr>
  </w:style>
  <w:style w:type="paragraph" w:styleId="BalloonText">
    <w:name w:val="Balloon Text"/>
    <w:basedOn w:val="Normal"/>
    <w:link w:val="BalloonTextChar"/>
    <w:uiPriority w:val="99"/>
    <w:semiHidden/>
    <w:unhideWhenUsed/>
    <w:rsid w:val="000E3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12E"/>
    <w:rPr>
      <w:rFonts w:ascii="Segoe UI" w:hAnsi="Segoe UI" w:cs="Segoe UI"/>
      <w:sz w:val="18"/>
      <w:szCs w:val="18"/>
      <w:lang w:val="en-GB"/>
    </w:rPr>
  </w:style>
  <w:style w:type="table" w:styleId="TableGrid">
    <w:name w:val="Table Grid"/>
    <w:basedOn w:val="TableNormal"/>
    <w:uiPriority w:val="39"/>
    <w:rsid w:val="002A7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15118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717D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70890">
      <w:bodyDiv w:val="1"/>
      <w:marLeft w:val="0"/>
      <w:marRight w:val="0"/>
      <w:marTop w:val="0"/>
      <w:marBottom w:val="0"/>
      <w:divBdr>
        <w:top w:val="none" w:sz="0" w:space="0" w:color="auto"/>
        <w:left w:val="none" w:sz="0" w:space="0" w:color="auto"/>
        <w:bottom w:val="none" w:sz="0" w:space="0" w:color="auto"/>
        <w:right w:val="none" w:sz="0" w:space="0" w:color="auto"/>
      </w:divBdr>
    </w:div>
    <w:div w:id="1124545637">
      <w:bodyDiv w:val="1"/>
      <w:marLeft w:val="0"/>
      <w:marRight w:val="0"/>
      <w:marTop w:val="0"/>
      <w:marBottom w:val="0"/>
      <w:divBdr>
        <w:top w:val="none" w:sz="0" w:space="0" w:color="auto"/>
        <w:left w:val="none" w:sz="0" w:space="0" w:color="auto"/>
        <w:bottom w:val="none" w:sz="0" w:space="0" w:color="auto"/>
        <w:right w:val="none" w:sz="0" w:space="0" w:color="auto"/>
      </w:divBdr>
    </w:div>
    <w:div w:id="1376544506">
      <w:bodyDiv w:val="1"/>
      <w:marLeft w:val="0"/>
      <w:marRight w:val="0"/>
      <w:marTop w:val="0"/>
      <w:marBottom w:val="0"/>
      <w:divBdr>
        <w:top w:val="none" w:sz="0" w:space="0" w:color="auto"/>
        <w:left w:val="none" w:sz="0" w:space="0" w:color="auto"/>
        <w:bottom w:val="none" w:sz="0" w:space="0" w:color="auto"/>
        <w:right w:val="none" w:sz="0" w:space="0" w:color="auto"/>
      </w:divBdr>
    </w:div>
    <w:div w:id="1989822799">
      <w:bodyDiv w:val="1"/>
      <w:marLeft w:val="0"/>
      <w:marRight w:val="0"/>
      <w:marTop w:val="0"/>
      <w:marBottom w:val="0"/>
      <w:divBdr>
        <w:top w:val="none" w:sz="0" w:space="0" w:color="auto"/>
        <w:left w:val="none" w:sz="0" w:space="0" w:color="auto"/>
        <w:bottom w:val="none" w:sz="0" w:space="0" w:color="auto"/>
        <w:right w:val="none" w:sz="0" w:space="0" w:color="auto"/>
      </w:divBdr>
    </w:div>
    <w:div w:id="21403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1C7F2C478A9C418F3B8A479E2B888D" ma:contentTypeVersion="13" ma:contentTypeDescription="Create a new document." ma:contentTypeScope="" ma:versionID="5f023247e7187b1b82d6da4dd9accbd1">
  <xsd:schema xmlns:xsd="http://www.w3.org/2001/XMLSchema" xmlns:xs="http://www.w3.org/2001/XMLSchema" xmlns:p="http://schemas.microsoft.com/office/2006/metadata/properties" xmlns:ns3="7b1a086d-1046-423b-818b-e2fe3b4bdd27" xmlns:ns4="ef2d8ab9-6557-4a70-afe1-6c5f1feb8807" targetNamespace="http://schemas.microsoft.com/office/2006/metadata/properties" ma:root="true" ma:fieldsID="f30358d4e6f900b9ac0f55b3a92c1bef" ns3:_="" ns4:_="">
    <xsd:import namespace="7b1a086d-1046-423b-818b-e2fe3b4bdd27"/>
    <xsd:import namespace="ef2d8ab9-6557-4a70-afe1-6c5f1feb88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a086d-1046-423b-818b-e2fe3b4bd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d8ab9-6557-4a70-afe1-6c5f1feb88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82B81-D09C-4D9D-BC4C-D34E5ED9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a086d-1046-423b-818b-e2fe3b4bdd27"/>
    <ds:schemaRef ds:uri="ef2d8ab9-6557-4a70-afe1-6c5f1feb8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AEEE9-AC45-4FA1-9978-A76AA3BFDEC3}">
  <ds:schemaRefs>
    <ds:schemaRef ds:uri="http://schemas.microsoft.com/sharepoint/v3/contenttype/forms"/>
  </ds:schemaRefs>
</ds:datastoreItem>
</file>

<file path=customXml/itemProps3.xml><?xml version="1.0" encoding="utf-8"?>
<ds:datastoreItem xmlns:ds="http://schemas.openxmlformats.org/officeDocument/2006/customXml" ds:itemID="{AFFB1FDC-2114-46A0-A065-E6612AF51416}">
  <ds:schemaRefs>
    <ds:schemaRef ds:uri="http://schemas.microsoft.com/office/2006/metadata/properties"/>
    <ds:schemaRef ds:uri="http://purl.org/dc/terms/"/>
    <ds:schemaRef ds:uri="ef2d8ab9-6557-4a70-afe1-6c5f1feb8807"/>
    <ds:schemaRef ds:uri="http://schemas.microsoft.com/office/2006/documentManagement/types"/>
    <ds:schemaRef ds:uri="http://schemas.openxmlformats.org/package/2006/metadata/core-properties"/>
    <ds:schemaRef ds:uri="http://purl.org/dc/elements/1.1/"/>
    <ds:schemaRef ds:uri="7b1a086d-1046-423b-818b-e2fe3b4bdd27"/>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8433E17-C62E-4F53-B302-322EDA3B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IOPP-WordTemplateLarge.dotx</Template>
  <TotalTime>0</TotalTime>
  <Pages>5</Pages>
  <Words>1768</Words>
  <Characters>10084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Eggleton</dc:creator>
  <cp:keywords/>
  <dc:description/>
  <cp:lastModifiedBy>nhe7503</cp:lastModifiedBy>
  <cp:revision>2</cp:revision>
  <dcterms:created xsi:type="dcterms:W3CDTF">2021-12-21T20:22:00Z</dcterms:created>
  <dcterms:modified xsi:type="dcterms:W3CDTF">2021-12-21T20:22:00Z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0x010100471C7F2C478A9C418F3B8A479E2B888D</vt:lpwstr>
  </property>
</Properties>
</file>